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080" w:right="-1080" w:firstLine="0"/>
        <w:rPr>
          <w:sz w:val="2"/>
          <w:szCs w:val="2"/>
        </w:rPr>
      </w:pPr>
      <w:r w:rsidDel="00000000" w:rsidR="00000000" w:rsidRPr="00000000">
        <w:rPr>
          <w:rtl w:val="0"/>
        </w:rPr>
      </w:r>
    </w:p>
    <w:tbl>
      <w:tblPr>
        <w:tblStyle w:val="Table1"/>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0"/>
        </w:trPr>
        <w:tc>
          <w:tcPr>
            <w:tcBorders>
              <w:top w:color="ffffff" w:space="0" w:sz="8" w:val="single"/>
              <w:left w:color="ffffff" w:space="0" w:sz="8" w:val="single"/>
              <w:bottom w:color="ffffff" w:space="0" w:sz="12" w:val="single"/>
              <w:right w:color="ffffff" w:space="0" w:sz="8" w:val="single"/>
            </w:tcBorders>
            <w:shd w:fill="c2dbf0" w:val="clear"/>
            <w:tcMar>
              <w:top w:w="100.0" w:type="dxa"/>
              <w:left w:w="100.0" w:type="dxa"/>
              <w:bottom w:w="100.0" w:type="dxa"/>
              <w:right w:w="100.0" w:type="dxa"/>
            </w:tcMar>
            <w:vAlign w:val="top"/>
          </w:tcPr>
          <w:p w:rsidR="00000000" w:rsidDel="00000000" w:rsidP="00000000" w:rsidRDefault="00000000" w:rsidRPr="00000000" w14:paraId="00000002">
            <w:pPr>
              <w:widowControl w:val="0"/>
              <w:jc w:val="center"/>
              <w:rPr/>
            </w:pPr>
            <w:r w:rsidDel="00000000" w:rsidR="00000000" w:rsidRPr="00000000">
              <w:rPr>
                <w:rFonts w:ascii="Proxima Nova" w:cs="Proxima Nova" w:eastAsia="Proxima Nova" w:hAnsi="Proxima Nova"/>
                <w:b w:val="1"/>
                <w:bCs w:val="1"/>
                <w:color w:val="06599b"/>
                <w:sz w:val="28"/>
                <w:szCs w:val="28"/>
                <w:rtl w:val="0"/>
              </w:rPr>
              <w:t xml:space="preserve">Overview</w:t>
            </w:r>
            <w:r w:rsidDel="00000000" w:rsidR="00000000" w:rsidRPr="00000000">
              <w:rPr>
                <w:rtl w:val="0"/>
              </w:rPr>
            </w:r>
          </w:p>
        </w:tc>
      </w:tr>
    </w:tbl>
    <w:p w:rsidR="00000000" w:rsidDel="00000000" w:rsidP="00000000" w:rsidRDefault="00000000" w:rsidRPr="00000000" w14:paraId="00000003">
      <w:pPr>
        <w:ind w:left="-1080" w:right="-1080" w:firstLine="0"/>
        <w:rPr>
          <w:sz w:val="2"/>
          <w:szCs w:val="2"/>
        </w:rPr>
      </w:pPr>
      <w:r w:rsidDel="00000000" w:rsidR="00000000" w:rsidRPr="00000000">
        <w:rPr>
          <w:rtl w:val="0"/>
        </w:rPr>
      </w:r>
    </w:p>
    <w:tbl>
      <w:tblPr>
        <w:tblStyle w:val="Table2"/>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24"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04">
            <w:pPr>
              <w:widowControl w:val="0"/>
              <w:rPr/>
            </w:pPr>
            <w:r w:rsidDel="00000000" w:rsidR="00000000" w:rsidRPr="00000000">
              <w:rPr>
                <w:rFonts w:ascii="Proxima Nova" w:cs="Proxima Nova" w:eastAsia="Proxima Nova" w:hAnsi="Proxima Nova"/>
                <w:b w:val="1"/>
                <w:bCs w:val="1"/>
                <w:color w:val="434343"/>
                <w:rtl w:val="0"/>
              </w:rPr>
              <w:t xml:space="preserve">Test Description</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rPr/>
            </w:pPr>
            <w:r w:rsidDel="00000000" w:rsidR="00000000" w:rsidRPr="00000000">
              <w:rPr>
                <w:rFonts w:ascii="Proxima Nova" w:cs="Proxima Nova" w:eastAsia="Proxima Nova" w:hAnsi="Proxima Nova"/>
                <w:rtl w:val="0"/>
              </w:rPr>
              <w:t xml:space="preserve">This panel evaluates 19 genes associated with Ehlers-Danlos syndrome (EDS). Genes included are associated with multiple EDS subtypes, including classical, vascular, kyphoscoliotic, dermatosparaxis, spondylodysplastic, musculocontractural, myopathic, classical-like, periodontal, and brittle cornea syndrome.</w:t>
            </w:r>
            <w:r w:rsidDel="00000000" w:rsidR="00000000" w:rsidRPr="00000000">
              <w:rPr>
                <w:rtl w:val="0"/>
              </w:rPr>
            </w:r>
          </w:p>
        </w:tc>
      </w:tr>
    </w:tbl>
    <w:p w:rsidR="00000000" w:rsidDel="00000000" w:rsidP="00000000" w:rsidRDefault="00000000" w:rsidRPr="00000000" w14:paraId="00000006">
      <w:pPr>
        <w:ind w:left="-1080" w:right="-1080" w:firstLine="0"/>
        <w:rPr>
          <w:sz w:val="2"/>
          <w:szCs w:val="2"/>
        </w:rPr>
      </w:pPr>
      <w:r w:rsidDel="00000000" w:rsidR="00000000" w:rsidRPr="00000000">
        <w:rPr>
          <w:rtl w:val="0"/>
        </w:rPr>
      </w:r>
    </w:p>
    <w:tbl>
      <w:tblPr>
        <w:tblStyle w:val="Table3"/>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07">
            <w:pPr>
              <w:widowControl w:val="0"/>
              <w:rPr/>
            </w:pPr>
            <w:r w:rsidDel="00000000" w:rsidR="00000000" w:rsidRPr="00000000">
              <w:rPr>
                <w:rFonts w:ascii="Proxima Nova" w:cs="Proxima Nova" w:eastAsia="Proxima Nova" w:hAnsi="Proxima Nova"/>
                <w:b w:val="1"/>
                <w:bCs w:val="1"/>
                <w:color w:val="434343"/>
                <w:rtl w:val="0"/>
              </w:rPr>
              <w:t xml:space="preserve">Genetics Information</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rtl w:val="0"/>
              </w:rPr>
              <w:t xml:space="preserve">This test utilizes next-generation sequencing to detect single nucleotide variants, insertions and deletions up to 20 bp, and copy number variants in genes associated with Ehlers-Danlos syndrome and related heritable connective tissue disorders.</w:t>
            </w:r>
            <w:r w:rsidDel="00000000" w:rsidR="00000000" w:rsidRPr="00000000">
              <w:rPr>
                <w:rtl w:val="0"/>
              </w:rPr>
            </w:r>
          </w:p>
        </w:tc>
      </w:tr>
    </w:tbl>
    <w:p w:rsidR="00000000" w:rsidDel="00000000" w:rsidP="00000000" w:rsidRDefault="00000000" w:rsidRPr="00000000" w14:paraId="00000009">
      <w:pPr>
        <w:ind w:left="-1080" w:right="-1080" w:firstLine="0"/>
        <w:rPr>
          <w:sz w:val="2"/>
          <w:szCs w:val="2"/>
        </w:rPr>
      </w:pPr>
      <w:r w:rsidDel="00000000" w:rsidR="00000000" w:rsidRPr="00000000">
        <w:rPr>
          <w:rtl w:val="0"/>
        </w:rPr>
      </w:r>
    </w:p>
    <w:tbl>
      <w:tblPr>
        <w:tblStyle w:val="Table4"/>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0A">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Indications For Testing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A relevant personal and/or family history suggestive of Ehlers-Danlos syndrome and its various subtypes.</w:t>
            </w:r>
            <w:r w:rsidDel="00000000" w:rsidR="00000000" w:rsidRPr="00000000">
              <w:rPr>
                <w:rtl w:val="0"/>
              </w:rPr>
            </w:r>
          </w:p>
        </w:tc>
      </w:tr>
    </w:tbl>
    <w:p w:rsidR="00000000" w:rsidDel="00000000" w:rsidP="00000000" w:rsidRDefault="00000000" w:rsidRPr="00000000" w14:paraId="0000000C">
      <w:pPr>
        <w:ind w:left="-1080" w:right="-1080" w:firstLine="0"/>
        <w:rPr>
          <w:sz w:val="2"/>
          <w:szCs w:val="2"/>
        </w:rPr>
      </w:pPr>
      <w:r w:rsidDel="00000000" w:rsidR="00000000" w:rsidRPr="00000000">
        <w:rPr>
          <w:rtl w:val="0"/>
        </w:rPr>
      </w:r>
    </w:p>
    <w:p w:rsidR="00000000" w:rsidDel="00000000" w:rsidP="00000000" w:rsidRDefault="00000000" w:rsidRPr="00000000" w14:paraId="0000000D">
      <w:pPr>
        <w:ind w:left="-1080" w:right="-1080" w:firstLine="0"/>
        <w:rPr>
          <w:sz w:val="2"/>
          <w:szCs w:val="2"/>
        </w:rPr>
      </w:pPr>
      <w:r w:rsidDel="00000000" w:rsidR="00000000" w:rsidRPr="00000000">
        <w:rPr>
          <w:rtl w:val="0"/>
        </w:rPr>
      </w:r>
    </w:p>
    <w:tbl>
      <w:tblPr>
        <w:tblStyle w:val="Table5"/>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0E">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Clinical Descriptions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syndromes (EDS) are a group of heritable connective tissue disorders characterized by joint hypermobility, skin hyperextensibility, and tissue fragility. The clinical spectrum ranges from mild joint hypermobility to severe, life-threatening vascular complications. The genes on this panel are associated with multiple EDS subtypes as classified by the 2017 International Classification of the Ehlers-Danlos Syndromes, as well as brittle cornea syndrome. These subtypes vary in severity and clinical features but share overlapping characteristics related to defects in collagen structure, processing, or modification. Inheritance may be autosomal dominant and/or autosomal recessive.</w:t>
            </w:r>
          </w:p>
          <w:p w:rsidR="00000000" w:rsidDel="00000000" w:rsidP="00000000" w:rsidRDefault="00000000" w:rsidRPr="00000000" w14:paraId="00000010">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1">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The genes on this panel were specifically selected for their established association with EDS and related conditions. Identification of a pathogenic variant may establish a molecular diagnosis, inform prognosis and management, and facilitate genetic counseling for the patient and their family members.</w:t>
            </w:r>
            <w:r w:rsidDel="00000000" w:rsidR="00000000" w:rsidRPr="00000000">
              <w:rPr>
                <w:rtl w:val="0"/>
              </w:rPr>
            </w:r>
          </w:p>
        </w:tc>
      </w:tr>
    </w:tbl>
    <w:p w:rsidR="00000000" w:rsidDel="00000000" w:rsidP="00000000" w:rsidRDefault="00000000" w:rsidRPr="00000000" w14:paraId="00000012">
      <w:pPr>
        <w:ind w:left="-1080" w:right="-1080" w:firstLine="0"/>
        <w:rPr>
          <w:sz w:val="2"/>
          <w:szCs w:val="2"/>
        </w:rPr>
      </w:pPr>
      <w:r w:rsidDel="00000000" w:rsidR="00000000" w:rsidRPr="00000000">
        <w:rPr>
          <w:rtl w:val="0"/>
        </w:rPr>
      </w:r>
    </w:p>
    <w:p w:rsidR="00000000" w:rsidDel="00000000" w:rsidP="00000000" w:rsidRDefault="00000000" w:rsidRPr="00000000" w14:paraId="00000013">
      <w:pPr>
        <w:ind w:left="-1080" w:right="-1080" w:firstLine="0"/>
        <w:rPr>
          <w:sz w:val="2"/>
          <w:szCs w:val="2"/>
        </w:rPr>
      </w:pPr>
      <w:r w:rsidDel="00000000" w:rsidR="00000000" w:rsidRPr="00000000">
        <w:rPr>
          <w:rtl w:val="0"/>
        </w:rPr>
      </w:r>
    </w:p>
    <w:p w:rsidR="00000000" w:rsidDel="00000000" w:rsidP="00000000" w:rsidRDefault="00000000" w:rsidRPr="00000000" w14:paraId="00000014">
      <w:pPr>
        <w:ind w:left="-1080" w:right="-1080" w:firstLine="0"/>
        <w:rPr>
          <w:sz w:val="2"/>
          <w:szCs w:val="2"/>
        </w:rPr>
        <w:sectPr>
          <w:headerReference r:id="rId6" w:type="default"/>
          <w:headerReference r:id="rId7" w:type="first"/>
          <w:footerReference r:id="rId8" w:type="default"/>
          <w:footerReference r:id="rId9" w:type="first"/>
          <w:pgSz w:h="15840" w:w="12240" w:orient="portrait"/>
          <w:pgMar w:bottom="1440" w:top="1440" w:left="1440" w:right="1440" w:header="360" w:footer="360"/>
          <w:pgNumType w:start="1"/>
        </w:sectPr>
      </w:pPr>
      <w:r w:rsidDel="00000000" w:rsidR="00000000" w:rsidRPr="00000000">
        <w:rPr>
          <w:rtl w:val="0"/>
        </w:rPr>
      </w:r>
    </w:p>
    <w:p w:rsidR="00000000" w:rsidDel="00000000" w:rsidP="00000000" w:rsidRDefault="00000000" w:rsidRPr="00000000" w14:paraId="00000015">
      <w:pPr>
        <w:ind w:left="-1080" w:right="-1080" w:firstLine="0"/>
        <w:rPr>
          <w:sz w:val="2"/>
          <w:szCs w:val="2"/>
        </w:rPr>
      </w:pPr>
      <w:r w:rsidDel="00000000" w:rsidR="00000000" w:rsidRPr="00000000">
        <w:rPr>
          <w:rtl w:val="0"/>
        </w:rPr>
      </w:r>
    </w:p>
    <w:tbl>
      <w:tblPr>
        <w:tblStyle w:val="Table6"/>
        <w:tblW w:w="11775.0" w:type="dxa"/>
        <w:jc w:val="left"/>
        <w:tblInd w:w="-1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75"/>
        <w:tblGridChange w:id="0">
          <w:tblGrid>
            <w:gridCol w:w="11775"/>
          </w:tblGrid>
        </w:tblGridChange>
      </w:tblGrid>
      <w:tr>
        <w:trPr>
          <w:cantSplit w:val="0"/>
          <w:tblHeader w:val="0"/>
        </w:trPr>
        <w:tc>
          <w:tcPr>
            <w:tcBorders>
              <w:top w:color="ffffff" w:space="0" w:sz="8" w:val="single"/>
              <w:left w:color="ffffff" w:space="0" w:sz="8" w:val="single"/>
              <w:bottom w:color="ffffff" w:space="0" w:sz="24" w:val="single"/>
              <w:right w:color="ffffff" w:space="0" w:sz="8" w:val="single"/>
            </w:tcBorders>
            <w:shd w:fill="c2dbf0" w:val="clear"/>
            <w:tcMar>
              <w:top w:w="100.0" w:type="dxa"/>
              <w:left w:w="100.0" w:type="dxa"/>
              <w:bottom w:w="100.0" w:type="dxa"/>
              <w:right w:w="100.0" w:type="dxa"/>
            </w:tcMar>
            <w:vAlign w:val="top"/>
          </w:tcPr>
          <w:p w:rsidR="00000000" w:rsidDel="00000000" w:rsidP="00000000" w:rsidRDefault="00000000" w:rsidRPr="00000000" w14:paraId="00000016">
            <w:pPr>
              <w:widowControl w:val="0"/>
              <w:jc w:val="center"/>
              <w:rPr>
                <w:rFonts w:ascii="Proxima Nova" w:cs="Proxima Nova" w:eastAsia="Proxima Nova" w:hAnsi="Proxima Nova"/>
                <w:b w:val="1"/>
                <w:bCs w:val="1"/>
                <w:color w:val="06599b"/>
                <w:sz w:val="28"/>
                <w:szCs w:val="28"/>
              </w:rPr>
            </w:pPr>
            <w:r w:rsidDel="00000000" w:rsidR="00000000" w:rsidRPr="00000000">
              <w:rPr>
                <w:rFonts w:ascii="Proxima Nova" w:cs="Proxima Nova" w:eastAsia="Proxima Nova" w:hAnsi="Proxima Nova"/>
                <w:b w:val="1"/>
                <w:bCs w:val="1"/>
                <w:color w:val="06599b"/>
                <w:sz w:val="28"/>
                <w:szCs w:val="28"/>
                <w:rtl w:val="0"/>
              </w:rPr>
              <w:t xml:space="preserve">Test Details</w:t>
            </w:r>
          </w:p>
        </w:tc>
      </w:tr>
    </w:tbl>
    <w:p w:rsidR="00000000" w:rsidDel="00000000" w:rsidP="00000000" w:rsidRDefault="00000000" w:rsidRPr="00000000" w14:paraId="00000017">
      <w:pPr>
        <w:ind w:left="-1080" w:right="-1080" w:firstLine="0"/>
        <w:rPr>
          <w:sz w:val="2"/>
          <w:szCs w:val="2"/>
        </w:rPr>
      </w:pPr>
      <w:r w:rsidDel="00000000" w:rsidR="00000000" w:rsidRPr="00000000">
        <w:rPr>
          <w:rtl w:val="0"/>
        </w:rPr>
      </w:r>
    </w:p>
    <w:tbl>
      <w:tblPr>
        <w:tblStyle w:val="Table7"/>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24" w:val="single"/>
              <w:left w:color="ffffff" w:space="0" w:sz="8" w:val="single"/>
              <w:bottom w:color="ffffff" w:space="0" w:sz="24"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8">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Genes Tested</w:t>
            </w:r>
          </w:p>
        </w:tc>
      </w:tr>
      <w:tr>
        <w:trPr>
          <w:cantSplit w:val="0"/>
          <w:tblHeader w:val="0"/>
        </w:trPr>
        <w:tc>
          <w:tcPr>
            <w:tcBorders>
              <w:top w:color="ffffff" w:space="0" w:sz="24" w:val="single"/>
              <w:left w:color="ffffff" w:space="0" w:sz="8" w:val="single"/>
              <w:bottom w:color="ffffff" w:space="0" w:sz="24"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19">
            <w:pPr>
              <w:spacing w:line="276" w:lineRule="auto"/>
              <w:rPr>
                <w:rFonts w:ascii="Proxima Nova" w:cs="Proxima Nova" w:eastAsia="Proxima Nova" w:hAnsi="Proxima Nova"/>
                <w:i w:val="1"/>
                <w:iCs w:val="1"/>
                <w:color w:val="434343"/>
                <w:sz w:val="22"/>
                <w:szCs w:val="22"/>
              </w:rPr>
            </w:pPr>
            <w:r w:rsidDel="00000000" w:rsidR="00000000" w:rsidRPr="00000000">
              <w:rPr>
                <w:rFonts w:ascii="Proxima Nova" w:cs="Proxima Nova" w:eastAsia="Proxima Nova" w:hAnsi="Proxima Nova"/>
                <w:i w:val="1"/>
                <w:iCs w:val="1"/>
                <w:rtl w:val="0"/>
              </w:rPr>
              <w:t xml:space="preserve">ADAMTS2, AEBP1, B3GALT6, B4GALT7, C1R, C1S, CHST14, COL1A1, COL1A2, COL3A1, COL5A1, COL5A2, COL12A1, DSE, FKBP14, PLOD1, PRDM5, SLC39A13, ZNF469</w:t>
            </w:r>
            <w:r w:rsidDel="00000000" w:rsidR="00000000" w:rsidRPr="00000000">
              <w:rPr>
                <w:rtl w:val="0"/>
              </w:rPr>
            </w:r>
          </w:p>
        </w:tc>
      </w:tr>
    </w:tbl>
    <w:p w:rsidR="00000000" w:rsidDel="00000000" w:rsidP="00000000" w:rsidRDefault="00000000" w:rsidRPr="00000000" w14:paraId="0000001A">
      <w:pPr>
        <w:ind w:left="-1080" w:right="-1080" w:firstLine="0"/>
        <w:rPr>
          <w:sz w:val="2"/>
          <w:szCs w:val="2"/>
        </w:rPr>
      </w:pPr>
      <w:r w:rsidDel="00000000" w:rsidR="00000000" w:rsidRPr="00000000">
        <w:rPr>
          <w:rtl w:val="0"/>
        </w:rPr>
      </w:r>
    </w:p>
    <w:tbl>
      <w:tblPr>
        <w:tblStyle w:val="Table8"/>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0"/>
        </w:trPr>
        <w:tc>
          <w:tcPr>
            <w:tcBorders>
              <w:top w:color="ffffff" w:space="0" w:sz="24"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B">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Methods &amp; Limitations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Extracted DNA is enriched for targeted regions and then sequenced using the Helix Exome+ (R) assay on an Illumina DNA sequencing system. Data is then aligned to a modified version of GRCh38 and all genes are analyzed using the MANE transcript and MANE Plus Clinical transcript, when available. Small variant calling is completed using a customized version of Sentieon's DNAseq software, augmented by a proprietary small variant caller for difficult variants. Copy number variants (CNVs) are then called using a proprietary bioinformatics pipeline based on depth analysis with a comparison to similarly sequenced samples. Interpretation is based upon guidelines published by the American College of Medical Genetics and Genomics (ACMG) and the Association for Molecular Pathology (AMP) or their modification by ClinGen Variant Curation Expert Panels when available. Interpretation is limited to the transcripts indicated on the report, +/- 10 bp into intronic regions, except as noted below. Helix variant classifications include pathogenic, likely pathogenic, variant of uncertain significance (VUS), likely benign, and benign. Variants classified as pathogenic, likely pathogenic, or VUS are included in the report. All reported variants (except for VUSs with limited evidence of pathogenicity) are confirmed through secondary manual inspection of DNA sequence data or orthogonal testing. Benign and likely benign variants are not reported but are available upon request. Risk estimations and management guidelines included in this report are based on analysis of primary literature and recommendations of applicable professional societies, and should be regarded as approximations.</w:t>
            </w:r>
          </w:p>
          <w:p w:rsidR="00000000" w:rsidDel="00000000" w:rsidP="00000000" w:rsidRDefault="00000000" w:rsidRPr="00000000" w14:paraId="0000001D">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E">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Based on validation studies, this assay delivers &gt; 99% sensitivity and specificity for single nucleotide variants and insertions and deletions (indels) up to 20 bp. Larger indels and complex variants are also reported but sensitivity may be reduced.</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Most deletions and duplications that are at least three exons in length are reliably detected, depending on the context of the underlying sequence</w:t>
            </w:r>
            <w:r w:rsidDel="00000000" w:rsidR="00000000" w:rsidRPr="00000000">
              <w:rPr>
                <w:rFonts w:ascii="Proxima Nova" w:cs="Proxima Nova" w:eastAsia="Proxima Nova" w:hAnsi="Proxima Nova"/>
                <w:rtl w:val="0"/>
              </w:rPr>
              <w:t xml:space="preserve">. T</w:t>
            </w:r>
            <w:r w:rsidDel="00000000" w:rsidR="00000000" w:rsidRPr="00000000">
              <w:rPr>
                <w:rFonts w:ascii="Proxima Nova" w:cs="Proxima Nova" w:eastAsia="Proxima Nova" w:hAnsi="Proxima Nova"/>
                <w:rtl w:val="0"/>
              </w:rPr>
              <w:t xml:space="preserve">his test may not detect variants in challenging regions (such as short tandem repeats, homopolymer runs, and segment duplications), sub-exonic CNVs, chromosomal aneuploidy, or variants in the presence of mosaicism. Phasing will be attempted and reported, when possible. Structural rearrangements such as inversions, translocations, and gene conversions are not tested in this assay unless explicitly indicated. Additionally, deep intronic, promoter, and enhancer regions may not be covered. It is important to note that this assay cannot detect all variants known to increase disease risk, and that a negative result does not guarantee that the tested individual does not carry a rare, undetectable variant in genes analyzed. Any potential incidental findings outside of these genes and conditions will not be identified, nor reported. The results of a genetic test may be influenced by various factors, including bone marrow transplantation, blood transfusions, or in rare cases, hematolymphoid neoplasms.</w:t>
            </w:r>
          </w:p>
          <w:p w:rsidR="00000000" w:rsidDel="00000000" w:rsidP="00000000" w:rsidRDefault="00000000" w:rsidRPr="00000000" w14:paraId="0000001F">
            <w:pPr>
              <w:spacing w:line="276"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0">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Gene Specific Notes:</w:t>
            </w:r>
            <w:r w:rsidDel="00000000" w:rsidR="00000000" w:rsidRPr="00000000">
              <w:rPr>
                <w:rtl w:val="0"/>
              </w:rPr>
            </w:r>
          </w:p>
          <w:p w:rsidR="00000000" w:rsidDel="00000000" w:rsidP="00000000" w:rsidRDefault="00000000" w:rsidRPr="00000000" w14:paraId="00000021">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n/a</w:t>
            </w:r>
          </w:p>
          <w:p w:rsidR="00000000" w:rsidDel="00000000" w:rsidP="00000000" w:rsidRDefault="00000000" w:rsidRPr="00000000" w14:paraId="00000022">
            <w:pPr>
              <w:spacing w:line="276" w:lineRule="auto"/>
              <w:rPr>
                <w:rFonts w:ascii="Proxima Nova" w:cs="Proxima Nova" w:eastAsia="Proxima Nova" w:hAnsi="Proxima Nova"/>
                <w:color w:val="434343"/>
                <w:sz w:val="22"/>
                <w:szCs w:val="22"/>
              </w:rPr>
            </w:pPr>
            <w:r w:rsidDel="00000000" w:rsidR="00000000" w:rsidRPr="00000000">
              <w:rPr>
                <w:rtl w:val="0"/>
              </w:rPr>
            </w:r>
          </w:p>
        </w:tc>
      </w:tr>
    </w:tbl>
    <w:p w:rsidR="00000000" w:rsidDel="00000000" w:rsidP="00000000" w:rsidRDefault="00000000" w:rsidRPr="00000000" w14:paraId="00000023">
      <w:pPr>
        <w:ind w:left="-1080" w:right="-1080" w:firstLine="0"/>
        <w:rPr>
          <w:sz w:val="2"/>
          <w:szCs w:val="2"/>
        </w:rPr>
      </w:pPr>
      <w:r w:rsidDel="00000000" w:rsidR="00000000" w:rsidRPr="00000000">
        <w:rPr>
          <w:rtl w:val="0"/>
        </w:rPr>
      </w:r>
    </w:p>
    <w:p w:rsidR="00000000" w:rsidDel="00000000" w:rsidP="00000000" w:rsidRDefault="00000000" w:rsidRPr="00000000" w14:paraId="00000024">
      <w:pPr>
        <w:ind w:left="-1080" w:right="-1080" w:firstLine="0"/>
        <w:rPr>
          <w:sz w:val="2"/>
          <w:szCs w:val="2"/>
        </w:rPr>
      </w:pPr>
      <w:r w:rsidDel="00000000" w:rsidR="00000000" w:rsidRPr="00000000">
        <w:rPr>
          <w:rtl w:val="0"/>
        </w:rPr>
      </w:r>
    </w:p>
    <w:tbl>
      <w:tblPr>
        <w:tblStyle w:val="Table9"/>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5">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Disclaimer</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This test was developed and validated by Helix, Inc. This test has not been cleared or approved by the United States Food and Drug Administration (FDA). The Helix laboratory is accredited by the College of American Pathologists (CAP) and certified under the Clinical Laboratory Improvement Amendments (CLIA #: 05D2117342) to perform high-complexity clinical tests. This test is used for clinical purposes. It should not be regarded as investigational or for research.</w:t>
            </w:r>
            <w:r w:rsidDel="00000000" w:rsidR="00000000" w:rsidRPr="00000000">
              <w:rPr>
                <w:rtl w:val="0"/>
              </w:rPr>
            </w:r>
          </w:p>
        </w:tc>
      </w:tr>
    </w:tbl>
    <w:p w:rsidR="00000000" w:rsidDel="00000000" w:rsidP="00000000" w:rsidRDefault="00000000" w:rsidRPr="00000000" w14:paraId="00000027">
      <w:pPr>
        <w:ind w:left="-1080" w:right="-1080" w:firstLine="0"/>
        <w:rPr>
          <w:sz w:val="2"/>
          <w:szCs w:val="2"/>
        </w:rPr>
      </w:pPr>
      <w:r w:rsidDel="00000000" w:rsidR="00000000" w:rsidRPr="00000000">
        <w:rPr>
          <w:rtl w:val="0"/>
        </w:rPr>
      </w:r>
    </w:p>
    <w:tbl>
      <w:tblPr>
        <w:tblStyle w:val="Table10"/>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24"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8">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Interpretation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29">
            <w:pPr>
              <w:spacing w:line="276" w:lineRule="auto"/>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rtl w:val="0"/>
              </w:rPr>
              <w:t xml:space="preserve">All detected variants are evaluated according to American College of Medical Genetics and Genomics recommendations. Variants are classified based on known, predicted, or possible pathogenicity and reported with interpretive comments detailing their potential or known significance.</w:t>
            </w:r>
            <w:r w:rsidDel="00000000" w:rsidR="00000000" w:rsidRPr="00000000">
              <w:rPr>
                <w:rtl w:val="0"/>
              </w:rPr>
            </w:r>
          </w:p>
        </w:tc>
      </w:tr>
    </w:tbl>
    <w:p w:rsidR="00000000" w:rsidDel="00000000" w:rsidP="00000000" w:rsidRDefault="00000000" w:rsidRPr="00000000" w14:paraId="0000002A">
      <w:pPr>
        <w:ind w:left="-1080" w:right="-1080" w:firstLine="0"/>
        <w:rPr>
          <w:sz w:val="2"/>
          <w:szCs w:val="2"/>
        </w:rPr>
      </w:pPr>
      <w:r w:rsidDel="00000000" w:rsidR="00000000" w:rsidRPr="00000000">
        <w:rPr>
          <w:rtl w:val="0"/>
        </w:rPr>
      </w:r>
    </w:p>
    <w:tbl>
      <w:tblPr>
        <w:tblStyle w:val="Table11"/>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B">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Reclassification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2C">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Helix reviews variant classifications annually when they arise in routine processes and upon request from providers. The timing of re-review depends on clinical risk. Providers can request a variant re-review by contacting Helix Customer Support. If a classification by Helix is updated, Helix identifies affected past patients and issues revised reports. Updated results are communicated to providers prior to results being uploaded to the EHR, and patients are notified through the EHR patient portal.</w:t>
            </w:r>
            <w:r w:rsidDel="00000000" w:rsidR="00000000" w:rsidRPr="00000000">
              <w:rPr>
                <w:rtl w:val="0"/>
              </w:rPr>
            </w:r>
          </w:p>
        </w:tc>
      </w:tr>
    </w:tbl>
    <w:p w:rsidR="00000000" w:rsidDel="00000000" w:rsidP="00000000" w:rsidRDefault="00000000" w:rsidRPr="00000000" w14:paraId="0000002D">
      <w:pPr>
        <w:ind w:left="-1080" w:right="-1080" w:firstLine="0"/>
        <w:rPr>
          <w:sz w:val="2"/>
          <w:szCs w:val="2"/>
        </w:rPr>
      </w:pPr>
      <w:r w:rsidDel="00000000" w:rsidR="00000000" w:rsidRPr="00000000">
        <w:rPr>
          <w:rtl w:val="0"/>
        </w:rPr>
      </w:r>
    </w:p>
    <w:tbl>
      <w:tblPr>
        <w:tblStyle w:val="Table12"/>
        <w:tblW w:w="11730.0" w:type="dxa"/>
        <w:jc w:val="left"/>
        <w:tblInd w:w="-119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30"/>
        <w:tblGridChange w:id="0">
          <w:tblGrid>
            <w:gridCol w:w="11730"/>
          </w:tblGrid>
        </w:tblGridChange>
      </w:tblGrid>
      <w:tr>
        <w:trPr>
          <w:cantSplit w:val="0"/>
          <w:tblHeader w:val="1"/>
        </w:trP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E">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Variant Evaluation</w:t>
            </w:r>
          </w:p>
        </w:tc>
      </w:tr>
      <w:tr>
        <w:trPr>
          <w:cantSplit w:val="1"/>
          <w:tblHeader w:val="0"/>
        </w:trPr>
        <w:tc>
          <w:tcPr>
            <w:tcBorders>
              <w:top w:color="ffffff" w:space="0" w:sz="8" w:val="single"/>
              <w:left w:color="ffffff" w:space="0" w:sz="8" w:val="single"/>
              <w:bottom w:color="ffffff" w:space="0" w:sz="8" w:val="single"/>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2F">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Variant classification is performed using the guidelines set forth by the American College of Medical Genetics and Genomics and the Association for Molecular Pathology, with modifications as suggested by domain specific Expert Panels of the Clinical Genome Resource (ClinGen) when available. Variant pathogenicity is categorized as benign, likely benign, variant of uncertain significance (VUS), likely pathogenic, or pathogenic.</w:t>
            </w:r>
            <w:r w:rsidDel="00000000" w:rsidR="00000000" w:rsidRPr="00000000">
              <w:rPr>
                <w:rtl w:val="0"/>
              </w:rPr>
            </w:r>
          </w:p>
        </w:tc>
      </w:tr>
    </w:tbl>
    <w:p w:rsidR="00000000" w:rsidDel="00000000" w:rsidP="00000000" w:rsidRDefault="00000000" w:rsidRPr="00000000" w14:paraId="00000030">
      <w:pPr>
        <w:ind w:left="-1080" w:right="-1080" w:firstLine="0"/>
        <w:rPr>
          <w:sz w:val="2"/>
          <w:szCs w:val="2"/>
        </w:rPr>
      </w:pPr>
      <w:r w:rsidDel="00000000" w:rsidR="00000000" w:rsidRPr="00000000">
        <w:rPr>
          <w:rtl w:val="0"/>
        </w:rPr>
      </w:r>
    </w:p>
    <w:tbl>
      <w:tblPr>
        <w:tblStyle w:val="Table13"/>
        <w:tblW w:w="11500.0" w:type="dxa"/>
        <w:jc w:val="left"/>
        <w:tblInd w:w="-10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15"/>
        <w:gridCol w:w="2895"/>
        <w:gridCol w:w="2895"/>
        <w:gridCol w:w="2895"/>
        <w:tblGridChange w:id="0">
          <w:tblGrid>
            <w:gridCol w:w="2815"/>
            <w:gridCol w:w="2895"/>
            <w:gridCol w:w="2895"/>
            <w:gridCol w:w="2895"/>
          </w:tblGrid>
        </w:tblGridChange>
      </w:tblGrid>
      <w:tr>
        <w:trPr>
          <w:cantSplit w:val="0"/>
          <w:trHeight w:val="440" w:hRule="atLeast"/>
          <w:tblHeader w:val="1"/>
        </w:trPr>
        <w:tc>
          <w:tcPr>
            <w:gridSpan w:val="4"/>
            <w:tcBorders>
              <w:top w:color="ffffff" w:space="0" w:sz="8" w:val="single"/>
              <w:left w:color="ffffff" w:space="0" w:sz="8" w:val="single"/>
              <w:bottom w:color="ffffff" w:space="0" w:sz="24" w:val="single"/>
              <w:right w:color="ffffff" w:space="0" w:sz="8" w:val="single"/>
            </w:tcBorders>
            <w:shd w:fill="c2dbf0" w:val="clear"/>
            <w:tcMar>
              <w:top w:w="100.0" w:type="dxa"/>
              <w:left w:w="100.0" w:type="dxa"/>
              <w:bottom w:w="100.0" w:type="dxa"/>
              <w:right w:w="100.0" w:type="dxa"/>
            </w:tcMar>
            <w:vAlign w:val="top"/>
          </w:tcPr>
          <w:p w:rsidR="00000000" w:rsidDel="00000000" w:rsidP="00000000" w:rsidRDefault="00000000" w:rsidRPr="00000000" w14:paraId="00000031">
            <w:pPr>
              <w:widowControl w:val="0"/>
              <w:jc w:val="center"/>
              <w:rPr>
                <w:rFonts w:ascii="Proxima Nova" w:cs="Proxima Nova" w:eastAsia="Proxima Nova" w:hAnsi="Proxima Nova"/>
                <w:b w:val="1"/>
                <w:bCs w:val="1"/>
                <w:color w:val="06599b"/>
                <w:sz w:val="28"/>
                <w:szCs w:val="28"/>
              </w:rPr>
            </w:pPr>
            <w:r w:rsidDel="00000000" w:rsidR="00000000" w:rsidRPr="00000000">
              <w:rPr>
                <w:rFonts w:ascii="Proxima Nova" w:cs="Proxima Nova" w:eastAsia="Proxima Nova" w:hAnsi="Proxima Nova"/>
                <w:b w:val="1"/>
                <w:bCs w:val="1"/>
                <w:color w:val="06599b"/>
                <w:sz w:val="28"/>
                <w:szCs w:val="28"/>
                <w:rtl w:val="0"/>
              </w:rPr>
              <w:t xml:space="preserve">Laboratory Details </w:t>
            </w:r>
          </w:p>
        </w:tc>
      </w:tr>
      <w:tr>
        <w:trPr>
          <w:cantSplit w:val="0"/>
          <w:tblHeader w:val="0"/>
        </w:trPr>
        <w:tc>
          <w:tcPr>
            <w:tcBorders>
              <w:top w:color="ffffff" w:space="0" w:sz="24" w:val="single"/>
              <w:left w:color="ffffff" w:space="0" w:sz="12" w:val="single"/>
              <w:bottom w:color="ffffff" w:space="0" w:sz="8" w:val="single"/>
              <w:right w:color="ffffff" w:space="0" w:sz="12"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5">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Turnaround Time - Standard</w:t>
            </w:r>
          </w:p>
        </w:tc>
        <w:tc>
          <w:tcPr>
            <w:tcBorders>
              <w:top w:color="ffffff" w:space="0" w:sz="24" w:val="single"/>
              <w:left w:color="ffffff" w:space="0" w:sz="12" w:val="single"/>
              <w:bottom w:color="ffffff" w:space="0" w:sz="12" w:val="single"/>
              <w:right w:color="ffffff"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Typically 6 to 21 days</w:t>
            </w:r>
            <w:r w:rsidDel="00000000" w:rsidR="00000000" w:rsidRPr="00000000">
              <w:rPr>
                <w:rtl w:val="0"/>
              </w:rPr>
            </w:r>
          </w:p>
        </w:tc>
        <w:tc>
          <w:tcPr>
            <w:tcBorders>
              <w:top w:color="ffffff" w:space="0" w:sz="24" w:val="single"/>
              <w:left w:color="ffffff" w:space="0" w:sz="12" w:val="single"/>
              <w:bottom w:color="ffffff" w:space="0" w:sz="12"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7">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Turnaround Time - Requery (SOQO</w:t>
            </w:r>
            <w:r w:rsidDel="00000000" w:rsidR="00000000" w:rsidRPr="00000000">
              <w:rPr>
                <w:rFonts w:ascii="Arial Unicode MS" w:cs="Arial Unicode MS" w:eastAsia="Arial Unicode MS" w:hAnsi="Arial Unicode MS"/>
                <w:b w:val="1"/>
                <w:bCs w:val="1"/>
                <w:color w:val="434343"/>
                <w:vertAlign w:val="superscript"/>
                <w:rtl w:val="0"/>
              </w:rPr>
              <w:t xml:space="preserve">Ⓡ</w:t>
            </w:r>
            <w:r w:rsidDel="00000000" w:rsidR="00000000" w:rsidRPr="00000000">
              <w:rPr>
                <w:rFonts w:ascii="Proxima Nova" w:cs="Proxima Nova" w:eastAsia="Proxima Nova" w:hAnsi="Proxima Nova"/>
                <w:b w:val="1"/>
                <w:bCs w:val="1"/>
                <w:color w:val="434343"/>
                <w:rtl w:val="0"/>
              </w:rPr>
              <w:t xml:space="preserve">)</w:t>
            </w:r>
          </w:p>
        </w:tc>
        <w:tc>
          <w:tcPr>
            <w:tcBorders>
              <w:top w:color="ffffff" w:space="0" w:sz="24"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spacing w:line="276" w:lineRule="auto"/>
              <w:rPr>
                <w:rFonts w:ascii="Proxima Nova" w:cs="Proxima Nova" w:eastAsia="Proxima Nova" w:hAnsi="Proxima Nova"/>
                <w:color w:val="434343"/>
              </w:rPr>
            </w:pPr>
            <w:r w:rsidDel="00000000" w:rsidR="00000000" w:rsidRPr="00000000">
              <w:rPr>
                <w:rFonts w:ascii="Nova Mono" w:cs="Nova Mono" w:eastAsia="Nova Mono" w:hAnsi="Nova Mono"/>
                <w:rtl w:val="0"/>
              </w:rPr>
              <w:t xml:space="preserve">Typically ≤ 5 days</w:t>
            </w:r>
            <w:r w:rsidDel="00000000" w:rsidR="00000000" w:rsidRPr="00000000">
              <w:rPr>
                <w:rtl w:val="0"/>
              </w:rPr>
            </w:r>
          </w:p>
        </w:tc>
      </w:tr>
      <w:tr>
        <w:trPr>
          <w:cantSplit w:val="0"/>
          <w:tblHeader w:val="0"/>
        </w:trPr>
        <w:tc>
          <w:tcPr>
            <w:tcBorders>
              <w:top w:color="ffffff" w:space="0" w:sz="8" w:val="single"/>
              <w:left w:color="ffffff" w:space="0" w:sz="12" w:val="single"/>
              <w:bottom w:color="ffffff" w:space="0" w:sz="12" w:val="single"/>
              <w:right w:color="ffffff" w:space="0" w:sz="12"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9">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Available in NY State</w:t>
            </w:r>
          </w:p>
        </w:tc>
        <w:tc>
          <w:tcPr>
            <w:tcBorders>
              <w:top w:color="ffffff" w:space="0" w:sz="24" w:val="single"/>
              <w:left w:color="ffffff" w:space="0" w:sz="12" w:val="single"/>
              <w:bottom w:color="ffffff" w:space="0" w:sz="12" w:val="single"/>
              <w:right w:color="ffffff"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rPr>
                <w:rFonts w:ascii="Proxima Nova" w:cs="Proxima Nova" w:eastAsia="Proxima Nova" w:hAnsi="Proxima Nova"/>
                <w:color w:val="434343"/>
              </w:rPr>
            </w:pPr>
            <w:r w:rsidDel="00000000" w:rsidR="00000000" w:rsidRPr="00000000">
              <w:rPr>
                <w:rFonts w:ascii="Proxima Nova" w:cs="Proxima Nova" w:eastAsia="Proxima Nova" w:hAnsi="Proxima Nova"/>
                <w:color w:val="434343"/>
                <w:rtl w:val="0"/>
              </w:rPr>
              <w:t xml:space="preserve">Yes</w:t>
            </w:r>
          </w:p>
        </w:tc>
        <w:tc>
          <w:tcPr>
            <w:tcBorders>
              <w:top w:color="ffffff" w:space="0" w:sz="12" w:val="single"/>
              <w:left w:color="ffffff" w:space="0" w:sz="12" w:val="single"/>
              <w:bottom w:color="ffffff" w:space="0" w:sz="8" w:val="single"/>
              <w:right w:color="ffffff"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B">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Procedure Code</w:t>
            </w:r>
          </w:p>
        </w:tc>
        <w:tc>
          <w:tcPr>
            <w:tcBorders>
              <w:top w:color="ffffff" w:space="0" w:sz="24"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rFonts w:ascii="Proxima Nova" w:cs="Proxima Nova" w:eastAsia="Proxima Nova" w:hAnsi="Proxima Nova"/>
                <w:color w:val="434343"/>
              </w:rPr>
            </w:pPr>
            <w:r w:rsidDel="00000000" w:rsidR="00000000" w:rsidRPr="00000000">
              <w:rPr>
                <w:rFonts w:ascii="Proxima Nova" w:cs="Proxima Nova" w:eastAsia="Proxima Nova" w:hAnsi="Proxima Nova"/>
                <w:color w:val="444746"/>
                <w:rtl w:val="0"/>
              </w:rPr>
              <w:t xml:space="preserve">H00526-8</w:t>
            </w:r>
            <w:r w:rsidDel="00000000" w:rsidR="00000000" w:rsidRPr="00000000">
              <w:rPr>
                <w:rtl w:val="0"/>
              </w:rPr>
            </w:r>
          </w:p>
        </w:tc>
      </w:tr>
      <w:tr>
        <w:trPr>
          <w:cantSplit w:val="0"/>
          <w:trHeight w:val="1076.9599999999955" w:hRule="atLeast"/>
          <w:tblHeader w:val="0"/>
        </w:trPr>
        <w:tc>
          <w:tcPr>
            <w:tcBorders>
              <w:top w:color="ffffff" w:space="0" w:sz="12" w:val="single"/>
              <w:left w:color="ffffff" w:space="0" w:sz="12" w:val="single"/>
              <w:bottom w:color="ffffff" w:space="0" w:sz="12" w:val="single"/>
              <w:right w:color="ffffff" w:space="0" w:sz="12"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D">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Test Classification </w:t>
            </w:r>
          </w:p>
        </w:tc>
        <w:tc>
          <w:tcPr>
            <w:gridSpan w:val="3"/>
            <w:tcBorders>
              <w:top w:color="ffffff" w:space="0" w:sz="12" w:val="single"/>
              <w:left w:color="ffffff" w:space="0" w:sz="12" w:val="single"/>
              <w:bottom w:color="ffffff" w:space="0" w:sz="12" w:val="single"/>
              <w:right w:color="ffffff"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This test was developed, and its performance characteristics determined, by Helix, Inc. in a manner consistent with CLIA requirements. This test has not been cleared or approved by the US Food and Drug Administration.</w:t>
            </w:r>
            <w:r w:rsidDel="00000000" w:rsidR="00000000" w:rsidRPr="00000000">
              <w:rPr>
                <w:rtl w:val="0"/>
              </w:rPr>
            </w:r>
          </w:p>
        </w:tc>
      </w:tr>
      <w:tr>
        <w:trPr>
          <w:cantSplit w:val="0"/>
          <w:trHeight w:val="440" w:hRule="atLeast"/>
          <w:tblHeader w:val="0"/>
        </w:trPr>
        <w:tc>
          <w:tcPr>
            <w:tcBorders>
              <w:top w:color="ffffff" w:space="0" w:sz="12" w:val="single"/>
              <w:left w:color="ffffff" w:space="0" w:sz="12" w:val="single"/>
              <w:bottom w:color="ffffff" w:space="0" w:sz="12" w:val="single"/>
              <w:right w:color="ffffff" w:space="0" w:sz="12"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1">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Regulatory Information</w:t>
            </w:r>
          </w:p>
        </w:tc>
        <w:tc>
          <w:tcPr>
            <w:gridSpan w:val="3"/>
            <w:tcBorders>
              <w:top w:color="ffffff" w:space="0" w:sz="12" w:val="single"/>
              <w:left w:color="ffffff" w:space="0" w:sz="12" w:val="single"/>
              <w:bottom w:color="ffffff" w:space="0" w:sz="12" w:val="single"/>
              <w:right w:color="ffffff"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CLIA Complexity: High</w:t>
            </w:r>
          </w:p>
          <w:p w:rsidR="00000000" w:rsidDel="00000000" w:rsidP="00000000" w:rsidRDefault="00000000" w:rsidRPr="00000000" w14:paraId="00000043">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Test Classification: Non-Waived/ Laboratory Developed Test</w:t>
            </w:r>
            <w:r w:rsidDel="00000000" w:rsidR="00000000" w:rsidRPr="00000000">
              <w:rPr>
                <w:rtl w:val="0"/>
              </w:rPr>
            </w:r>
          </w:p>
        </w:tc>
      </w:tr>
      <w:tr>
        <w:trPr>
          <w:cantSplit w:val="0"/>
          <w:trHeight w:val="440" w:hRule="atLeast"/>
          <w:tblHeader w:val="0"/>
        </w:trPr>
        <w:tc>
          <w:tcPr>
            <w:tcBorders>
              <w:top w:color="ffffff" w:space="0" w:sz="12" w:val="single"/>
              <w:left w:color="ffffff" w:space="0" w:sz="12" w:val="single"/>
              <w:bottom w:color="ffffff" w:space="0" w:sz="12" w:val="single"/>
              <w:right w:color="ffffff" w:space="0" w:sz="12"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6">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CLIA Category</w:t>
            </w:r>
          </w:p>
        </w:tc>
        <w:tc>
          <w:tcPr>
            <w:gridSpan w:val="3"/>
            <w:tcBorders>
              <w:top w:color="ffffff" w:space="0" w:sz="12" w:val="single"/>
              <w:left w:color="ffffff" w:space="0" w:sz="12" w:val="single"/>
              <w:bottom w:color="ffffff" w:space="0" w:sz="12" w:val="single"/>
              <w:right w:color="ffffff"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spacing w:line="276" w:lineRule="auto"/>
              <w:rPr>
                <w:rFonts w:ascii="Proxima Nova" w:cs="Proxima Nova" w:eastAsia="Proxima Nova" w:hAnsi="Proxima Nova"/>
                <w:color w:val="434343"/>
              </w:rPr>
            </w:pPr>
            <w:r w:rsidDel="00000000" w:rsidR="00000000" w:rsidRPr="00000000">
              <w:rPr>
                <w:rFonts w:ascii="Proxima Nova" w:cs="Proxima Nova" w:eastAsia="Proxima Nova" w:hAnsi="Proxima Nova"/>
                <w:rtl w:val="0"/>
              </w:rPr>
              <w:t xml:space="preserve">Chemistry / Routine Chemistry</w:t>
            </w:r>
            <w:r w:rsidDel="00000000" w:rsidR="00000000" w:rsidRPr="00000000">
              <w:rPr>
                <w:rtl w:val="0"/>
              </w:rPr>
            </w:r>
          </w:p>
        </w:tc>
      </w:tr>
      <w:tr>
        <w:trPr>
          <w:cantSplit w:val="1"/>
          <w:trHeight w:val="1686.6" w:hRule="atLeast"/>
          <w:tblHeader w:val="0"/>
        </w:trPr>
        <w:tc>
          <w:tcPr>
            <w:tcBorders>
              <w:top w:color="ffffff" w:space="0" w:sz="12" w:val="single"/>
              <w:left w:color="ffffff" w:space="0" w:sz="12" w:val="single"/>
              <w:bottom w:color="ffffff" w:space="0" w:sz="12" w:val="single"/>
              <w:right w:color="ffffff" w:space="0" w:sz="12"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A">
            <w:pPr>
              <w:widowControl w:val="0"/>
              <w:rPr>
                <w:rFonts w:ascii="Proxima Nova" w:cs="Proxima Nova" w:eastAsia="Proxima Nova" w:hAnsi="Proxima Nova"/>
                <w:b w:val="1"/>
                <w:bCs w:val="1"/>
                <w:color w:val="434343"/>
              </w:rPr>
            </w:pPr>
            <w:r w:rsidDel="00000000" w:rsidR="00000000" w:rsidRPr="00000000">
              <w:rPr>
                <w:rFonts w:ascii="Proxima Nova" w:cs="Proxima Nova" w:eastAsia="Proxima Nova" w:hAnsi="Proxima Nova"/>
                <w:b w:val="1"/>
                <w:bCs w:val="1"/>
                <w:color w:val="434343"/>
                <w:rtl w:val="0"/>
              </w:rPr>
              <w:t xml:space="preserve">Performing Laboratory Information </w:t>
            </w:r>
          </w:p>
        </w:tc>
        <w:tc>
          <w:tcPr>
            <w:gridSpan w:val="3"/>
            <w:tcBorders>
              <w:top w:color="ffffff" w:space="0" w:sz="12" w:val="single"/>
              <w:left w:color="ffffff" w:space="0" w:sz="12" w:val="single"/>
              <w:bottom w:color="ffffff" w:space="0" w:sz="12" w:val="single"/>
              <w:right w:color="ffffff"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CLIA Laboratory Number: 05D2117342</w:t>
            </w:r>
          </w:p>
          <w:p w:rsidR="00000000" w:rsidDel="00000000" w:rsidP="00000000" w:rsidRDefault="00000000" w:rsidRPr="00000000" w14:paraId="0000004C">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Laboratory Hours of Operation: Monday-Saturday (7AM-10:30PM PST)</w:t>
            </w:r>
          </w:p>
          <w:p w:rsidR="00000000" w:rsidDel="00000000" w:rsidP="00000000" w:rsidRDefault="00000000" w:rsidRPr="00000000" w14:paraId="0000004D">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Address: 10170 Sorrento Valley Road, Suite 100, San Diego, CA 92121</w:t>
            </w:r>
          </w:p>
          <w:p w:rsidR="00000000" w:rsidDel="00000000" w:rsidP="00000000" w:rsidRDefault="00000000" w:rsidRPr="00000000" w14:paraId="0000004E">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Helix Customer Support: (844) 211-2070</w:t>
            </w:r>
          </w:p>
          <w:p w:rsidR="00000000" w:rsidDel="00000000" w:rsidP="00000000" w:rsidRDefault="00000000" w:rsidRPr="00000000" w14:paraId="0000004F">
            <w:pPr>
              <w:spacing w:line="276"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Email: support@helix.com</w:t>
            </w:r>
          </w:p>
        </w:tc>
      </w:tr>
    </w:tbl>
    <w:p w:rsidR="00000000" w:rsidDel="00000000" w:rsidP="00000000" w:rsidRDefault="00000000" w:rsidRPr="00000000" w14:paraId="00000052">
      <w:pPr>
        <w:rPr/>
        <w:sectPr>
          <w:type w:val="nextPage"/>
          <w:pgSz w:h="15840" w:w="12240" w:orient="portrait"/>
          <w:pgMar w:bottom="1440" w:top="1440" w:left="1440" w:right="1440" w:header="360" w:footer="360"/>
        </w:sectPr>
      </w:pPr>
      <w:r w:rsidDel="00000000" w:rsidR="00000000" w:rsidRPr="00000000">
        <w:rPr>
          <w:rtl w:val="0"/>
        </w:rPr>
      </w:r>
    </w:p>
    <w:p w:rsidR="00000000" w:rsidDel="00000000" w:rsidP="00000000" w:rsidRDefault="00000000" w:rsidRPr="00000000" w14:paraId="00000053">
      <w:pPr>
        <w:spacing w:after="40" w:before="40" w:lineRule="auto"/>
        <w:ind w:left="0" w:right="-1080" w:firstLine="0"/>
        <w:rPr>
          <w:rFonts w:ascii="Proxima Nova" w:cs="Proxima Nova" w:eastAsia="Proxima Nova" w:hAnsi="Proxima Nova"/>
          <w:color w:val="434343"/>
          <w:sz w:val="2"/>
          <w:szCs w:val="2"/>
          <w:highlight w:val="white"/>
        </w:rPr>
      </w:pPr>
      <w:r w:rsidDel="00000000" w:rsidR="00000000" w:rsidRPr="00000000">
        <w:rPr>
          <w:rtl w:val="0"/>
        </w:rPr>
      </w:r>
    </w:p>
    <w:p w:rsidR="00000000" w:rsidDel="00000000" w:rsidP="00000000" w:rsidRDefault="00000000" w:rsidRPr="00000000" w14:paraId="00000054">
      <w:pPr>
        <w:spacing w:line="276" w:lineRule="auto"/>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5">
      <w:pPr>
        <w:spacing w:line="276" w:lineRule="auto"/>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6">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Bethlem myopathy 2 (COL12A1)   </w:t>
      </w:r>
    </w:p>
    <w:p w:rsidR="00000000" w:rsidDel="00000000" w:rsidP="00000000" w:rsidRDefault="00000000" w:rsidRPr="00000000" w14:paraId="00000057">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Brittle cornea syndrome type 1 (ZNF469)   </w:t>
      </w:r>
    </w:p>
    <w:p w:rsidR="00000000" w:rsidDel="00000000" w:rsidP="00000000" w:rsidRDefault="00000000" w:rsidRPr="00000000" w14:paraId="00000058">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Brittle cornea syndrome type 2 (PRDM5)   </w:t>
      </w:r>
    </w:p>
    <w:p w:rsidR="00000000" w:rsidDel="00000000" w:rsidP="00000000" w:rsidRDefault="00000000" w:rsidRPr="00000000" w14:paraId="00000059">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Caffey disease (COL1A1)   </w:t>
      </w:r>
    </w:p>
    <w:p w:rsidR="00000000" w:rsidDel="00000000" w:rsidP="00000000" w:rsidRDefault="00000000" w:rsidRPr="00000000" w14:paraId="0000005A">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Complement component C1s deficiency (C1S)   </w:t>
      </w:r>
    </w:p>
    <w:p w:rsidR="00000000" w:rsidDel="00000000" w:rsidP="00000000" w:rsidRDefault="00000000" w:rsidRPr="00000000" w14:paraId="0000005B">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arthrochalasia type (types VIIA/B) (COL1A1 and COL1A2)   </w:t>
      </w:r>
    </w:p>
    <w:p w:rsidR="00000000" w:rsidDel="00000000" w:rsidP="00000000" w:rsidRDefault="00000000" w:rsidRPr="00000000" w14:paraId="0000005C">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classic type (types I/II) (COL5A1 and COL5A2)   </w:t>
      </w:r>
    </w:p>
    <w:p w:rsidR="00000000" w:rsidDel="00000000" w:rsidP="00000000" w:rsidRDefault="00000000" w:rsidRPr="00000000" w14:paraId="0000005D">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dermatosparaxis type (type VIIC) (ADAMTS2)   </w:t>
      </w:r>
    </w:p>
    <w:p w:rsidR="00000000" w:rsidDel="00000000" w:rsidP="00000000" w:rsidRDefault="00000000" w:rsidRPr="00000000" w14:paraId="0000005E">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kyphoscoliotic form (type II) (FKBP14)   </w:t>
      </w:r>
    </w:p>
    <w:p w:rsidR="00000000" w:rsidDel="00000000" w:rsidP="00000000" w:rsidRDefault="00000000" w:rsidRPr="00000000" w14:paraId="0000005F">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kyphoscoliotic form (type VI) (PLOD1)   </w:t>
      </w:r>
    </w:p>
    <w:p w:rsidR="00000000" w:rsidDel="00000000" w:rsidP="00000000" w:rsidRDefault="00000000" w:rsidRPr="00000000" w14:paraId="00000060">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musculocontractural type 1 (CHST14)   </w:t>
      </w:r>
    </w:p>
    <w:p w:rsidR="00000000" w:rsidDel="00000000" w:rsidP="00000000" w:rsidRDefault="00000000" w:rsidRPr="00000000" w14:paraId="00000061">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vascular type (type IV) (COL3A1)   </w:t>
      </w:r>
    </w:p>
    <w:p w:rsidR="00000000" w:rsidDel="00000000" w:rsidP="00000000" w:rsidRDefault="00000000" w:rsidRPr="00000000" w14:paraId="00000062">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cardiac valvular form (COL1A2)   </w:t>
      </w:r>
    </w:p>
    <w:p w:rsidR="00000000" w:rsidDel="00000000" w:rsidP="00000000" w:rsidRDefault="00000000" w:rsidRPr="00000000" w14:paraId="00000063">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classic-like, 2 (AEBP1)   </w:t>
      </w:r>
    </w:p>
    <w:p w:rsidR="00000000" w:rsidDel="00000000" w:rsidP="00000000" w:rsidRDefault="00000000" w:rsidRPr="00000000" w14:paraId="00000064">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musculocontractural type 2 (DSE)   </w:t>
      </w:r>
    </w:p>
    <w:p w:rsidR="00000000" w:rsidDel="00000000" w:rsidP="00000000" w:rsidRDefault="00000000" w:rsidRPr="00000000" w14:paraId="00000065">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periodontal type 1 (C1R)   </w:t>
      </w:r>
    </w:p>
    <w:p w:rsidR="00000000" w:rsidDel="00000000" w:rsidP="00000000" w:rsidRDefault="00000000" w:rsidRPr="00000000" w14:paraId="00000066">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periodontal type 2 (C1S)   </w:t>
      </w:r>
    </w:p>
    <w:p w:rsidR="00000000" w:rsidDel="00000000" w:rsidP="00000000" w:rsidRDefault="00000000" w:rsidRPr="00000000" w14:paraId="00000067">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Ehlers-Danlos syndrome, spondylodysplastic type, 1 (B4GALT7)  </w:t>
      </w:r>
    </w:p>
    <w:p w:rsidR="00000000" w:rsidDel="00000000" w:rsidP="00000000" w:rsidRDefault="00000000" w:rsidRPr="00000000" w14:paraId="00000068">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Osteogenesis imperfecta type 1 (COL1A1 and COL1A2)  </w:t>
      </w:r>
    </w:p>
    <w:p w:rsidR="00000000" w:rsidDel="00000000" w:rsidP="00000000" w:rsidRDefault="00000000" w:rsidRPr="00000000" w14:paraId="00000069">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Osteogenesis imperfecta type 2 (COL1A1 and COL1A2)   </w:t>
      </w:r>
    </w:p>
    <w:p w:rsidR="00000000" w:rsidDel="00000000" w:rsidP="00000000" w:rsidRDefault="00000000" w:rsidRPr="00000000" w14:paraId="0000006A">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Osteogenesis imperfecta type 3 (COL1A1 and COL1A2)   </w:t>
      </w:r>
    </w:p>
    <w:p w:rsidR="00000000" w:rsidDel="00000000" w:rsidP="00000000" w:rsidRDefault="00000000" w:rsidRPr="00000000" w14:paraId="0000006B">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Osteogenesis imperfecta type 4 (COL1A1 and COL1A2)   </w:t>
      </w:r>
    </w:p>
    <w:p w:rsidR="00000000" w:rsidDel="00000000" w:rsidP="00000000" w:rsidRDefault="00000000" w:rsidRPr="00000000" w14:paraId="0000006C">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Spondylodysplastic Ehlers-Danlos syndrome (SLC39A13)   </w:t>
      </w:r>
    </w:p>
    <w:p w:rsidR="00000000" w:rsidDel="00000000" w:rsidP="00000000" w:rsidRDefault="00000000" w:rsidRPr="00000000" w14:paraId="0000006D">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Spondyloepimetaphyseal dysplasia with joint laxity, Ehlers-Danlos syndrome spondylodysplastic form (B3GALT6)   </w:t>
      </w:r>
    </w:p>
    <w:p w:rsidR="00000000" w:rsidDel="00000000" w:rsidP="00000000" w:rsidRDefault="00000000" w:rsidRPr="00000000" w14:paraId="0000006E">
      <w:pPr>
        <w:numPr>
          <w:ilvl w:val="0"/>
          <w:numId w:val="1"/>
        </w:numPr>
        <w:spacing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Ullrich congenital muscular dystrophy 2 (COL12A1)  </w:t>
      </w:r>
      <w:r w:rsidDel="00000000" w:rsidR="00000000" w:rsidRPr="00000000">
        <w:rPr>
          <w:rtl w:val="0"/>
        </w:rPr>
      </w:r>
    </w:p>
    <w:p w:rsidR="00000000" w:rsidDel="00000000" w:rsidP="00000000" w:rsidRDefault="00000000" w:rsidRPr="00000000" w14:paraId="0000006F">
      <w:pPr>
        <w:spacing w:line="276" w:lineRule="auto"/>
        <w:rPr>
          <w:rFonts w:ascii="Proxima Nova" w:cs="Proxima Nova" w:eastAsia="Proxima Nova" w:hAnsi="Proxima Nova"/>
        </w:rPr>
        <w:sectPr>
          <w:headerReference r:id="rId10" w:type="default"/>
          <w:headerReference r:id="rId11" w:type="first"/>
          <w:type w:val="nextPage"/>
          <w:pgSz w:h="15840" w:w="12240" w:orient="portrait"/>
          <w:pgMar w:bottom="1440" w:top="1440" w:left="1440" w:right="1440" w:header="360" w:footer="720"/>
          <w:cols w:equalWidth="0" w:num="1">
            <w:col w:space="0" w:w="9360"/>
          </w:cols>
        </w:sectPr>
      </w:pPr>
      <w:r w:rsidDel="00000000" w:rsidR="00000000" w:rsidRPr="00000000">
        <w:rPr>
          <w:rtl w:val="0"/>
        </w:rPr>
      </w:r>
    </w:p>
    <w:p w:rsidR="00000000" w:rsidDel="00000000" w:rsidP="00000000" w:rsidRDefault="00000000" w:rsidRPr="00000000" w14:paraId="00000070">
      <w:pPr>
        <w:spacing w:after="40" w:before="40" w:lineRule="auto"/>
        <w:ind w:left="-1035" w:right="-1080" w:firstLine="0"/>
        <w:rPr>
          <w:rFonts w:ascii="Proxima Nova" w:cs="Proxima Nova" w:eastAsia="Proxima Nova" w:hAnsi="Proxima Nova"/>
          <w:color w:val="434343"/>
        </w:rPr>
      </w:pPr>
      <w:r w:rsidDel="00000000" w:rsidR="00000000" w:rsidRPr="00000000">
        <w:rPr>
          <w:rFonts w:ascii="Proxima Nova" w:cs="Proxima Nova" w:eastAsia="Proxima Nova" w:hAnsi="Proxima Nova"/>
          <w:color w:val="434343"/>
          <w:rtl w:val="0"/>
        </w:rPr>
        <w:t xml:space="preserve">The following applies to the Helix Ehlers Danlos Syndrome Panel. Testing is performed to evaluate for the presence of variants in coding regions and extending to +/- 10 base pairs of adjacent intronic sequences on either side of the coding exons of the genes analyzed. In addition, the analysis will cover select non-coding variants, as listed below. Next-generation sequencing is performed to test for the presence of small variants and copy number variants in the genes analyzed. Confirmation of select reportable variants may be performed by alternate methodologies based on internal laboratory criteria. </w:t>
      </w:r>
    </w:p>
    <w:p w:rsidR="00000000" w:rsidDel="00000000" w:rsidP="00000000" w:rsidRDefault="00000000" w:rsidRPr="00000000" w14:paraId="00000071">
      <w:pPr>
        <w:spacing w:after="40" w:before="40" w:lineRule="auto"/>
        <w:ind w:left="-1035" w:right="-1080" w:firstLine="0"/>
        <w:rPr>
          <w:rFonts w:ascii="Proxima Nova" w:cs="Proxima Nova" w:eastAsia="Proxima Nova" w:hAnsi="Proxima Nova"/>
          <w:color w:val="434343"/>
        </w:rPr>
      </w:pPr>
      <w:r w:rsidDel="00000000" w:rsidR="00000000" w:rsidRPr="00000000">
        <w:rPr>
          <w:rtl w:val="0"/>
        </w:rPr>
      </w:r>
    </w:p>
    <w:p w:rsidR="00000000" w:rsidDel="00000000" w:rsidP="00000000" w:rsidRDefault="00000000" w:rsidRPr="00000000" w14:paraId="00000072">
      <w:pPr>
        <w:spacing w:after="40" w:before="40" w:lineRule="auto"/>
        <w:ind w:left="-1035" w:right="-1080" w:firstLine="0"/>
        <w:rPr>
          <w:rFonts w:ascii="Proxima Nova" w:cs="Proxima Nova" w:eastAsia="Proxima Nova" w:hAnsi="Proxima Nova"/>
          <w:color w:val="434343"/>
        </w:rPr>
      </w:pPr>
      <w:r w:rsidDel="00000000" w:rsidR="00000000" w:rsidRPr="00000000">
        <w:rPr>
          <w:rFonts w:ascii="Proxima Nova" w:cs="Proxima Nova" w:eastAsia="Proxima Nova" w:hAnsi="Proxima Nova"/>
          <w:color w:val="434343"/>
          <w:rtl w:val="0"/>
        </w:rPr>
        <w:t xml:space="preserve">This list is current from June 2026 to the present. This document is intended to highlight additional evaluations for variants of high clinical interest as well as technical limitations. For questions regarding genes, reference transcripts, or specific regions covered, contact Helix Customer Support at (844) 211-2070.</w:t>
      </w:r>
    </w:p>
    <w:p w:rsidR="00000000" w:rsidDel="00000000" w:rsidP="00000000" w:rsidRDefault="00000000" w:rsidRPr="00000000" w14:paraId="00000073">
      <w:pPr>
        <w:spacing w:after="40" w:before="40" w:lineRule="auto"/>
        <w:ind w:left="-1035" w:right="-1080" w:firstLine="0"/>
        <w:rPr>
          <w:rFonts w:ascii="Proxima Nova" w:cs="Proxima Nova" w:eastAsia="Proxima Nova" w:hAnsi="Proxima Nova"/>
          <w:color w:val="434343"/>
        </w:rPr>
      </w:pPr>
      <w:r w:rsidDel="00000000" w:rsidR="00000000" w:rsidRPr="00000000">
        <w:rPr>
          <w:rtl w:val="0"/>
        </w:rPr>
      </w:r>
    </w:p>
    <w:p w:rsidR="00000000" w:rsidDel="00000000" w:rsidP="00000000" w:rsidRDefault="00000000" w:rsidRPr="00000000" w14:paraId="00000074">
      <w:pPr>
        <w:spacing w:after="40" w:before="40" w:lineRule="auto"/>
        <w:ind w:left="-1035" w:right="-1080" w:firstLine="0"/>
        <w:rPr>
          <w:rFonts w:ascii="Proxima Nova" w:cs="Proxima Nova" w:eastAsia="Proxima Nova" w:hAnsi="Proxima Nova"/>
          <w:color w:val="434343"/>
        </w:rPr>
      </w:pPr>
      <w:r w:rsidDel="00000000" w:rsidR="00000000" w:rsidRPr="00000000">
        <w:rPr>
          <w:rFonts w:ascii="Proxima Nova" w:cs="Proxima Nova" w:eastAsia="Proxima Nova" w:hAnsi="Proxima Nova"/>
          <w:color w:val="434343"/>
          <w:rtl w:val="0"/>
        </w:rPr>
        <w:t xml:space="preserve">Genomic Build: GRCh38</w:t>
      </w:r>
    </w:p>
    <w:tbl>
      <w:tblPr>
        <w:tblStyle w:val="Table14"/>
        <w:tblW w:w="10605.0" w:type="dxa"/>
        <w:jc w:val="left"/>
        <w:tblInd w:w="-10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3255"/>
        <w:gridCol w:w="4860"/>
        <w:tblGridChange w:id="0">
          <w:tblGrid>
            <w:gridCol w:w="2490"/>
            <w:gridCol w:w="3255"/>
            <w:gridCol w:w="4860"/>
          </w:tblGrid>
        </w:tblGridChange>
      </w:tblGrid>
      <w:tr>
        <w:trPr>
          <w:cantSplit w:val="0"/>
          <w:tblHeader w:val="1"/>
        </w:trPr>
        <w:tc>
          <w:tcPr>
            <w:tcBorders>
              <w:top w:color="d9d9d9" w:space="0" w:sz="6" w:val="single"/>
              <w:left w:color="d9d9d9" w:space="0" w:sz="6" w:val="single"/>
              <w:bottom w:color="d9d9d9" w:space="0" w:sz="6" w:val="single"/>
              <w:right w:color="d9d9d9" w:space="0" w:sz="6" w:val="single"/>
            </w:tcBorders>
            <w:shd w:fill="c2dbf0" w:val="clear"/>
          </w:tcPr>
          <w:p w:rsidR="00000000" w:rsidDel="00000000" w:rsidP="00000000" w:rsidRDefault="00000000" w:rsidRPr="00000000" w14:paraId="00000075">
            <w:pPr>
              <w:jc w:val="center"/>
              <w:rPr>
                <w:rFonts w:ascii="Proxima Nova" w:cs="Proxima Nova" w:eastAsia="Proxima Nova" w:hAnsi="Proxima Nova"/>
                <w:color w:val="06599b"/>
              </w:rPr>
            </w:pPr>
            <w:r w:rsidDel="00000000" w:rsidR="00000000" w:rsidRPr="00000000">
              <w:rPr>
                <w:rFonts w:ascii="Proxima Nova" w:cs="Proxima Nova" w:eastAsia="Proxima Nova" w:hAnsi="Proxima Nova"/>
                <w:b w:val="1"/>
                <w:bCs w:val="1"/>
                <w:color w:val="06599b"/>
                <w:rtl w:val="0"/>
              </w:rPr>
              <w:t xml:space="preserve">Gene</w:t>
            </w: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shd w:fill="c2dbf0" w:val="clear"/>
          </w:tcPr>
          <w:p w:rsidR="00000000" w:rsidDel="00000000" w:rsidP="00000000" w:rsidRDefault="00000000" w:rsidRPr="00000000" w14:paraId="00000076">
            <w:pPr>
              <w:jc w:val="center"/>
              <w:rPr>
                <w:rFonts w:ascii="Proxima Nova" w:cs="Proxima Nova" w:eastAsia="Proxima Nova" w:hAnsi="Proxima Nova"/>
                <w:color w:val="06599b"/>
              </w:rPr>
            </w:pPr>
            <w:r w:rsidDel="00000000" w:rsidR="00000000" w:rsidRPr="00000000">
              <w:rPr>
                <w:rFonts w:ascii="Proxima Nova" w:cs="Proxima Nova" w:eastAsia="Proxima Nova" w:hAnsi="Proxima Nova"/>
                <w:b w:val="1"/>
                <w:bCs w:val="1"/>
                <w:color w:val="06599b"/>
                <w:rtl w:val="0"/>
              </w:rPr>
              <w:t xml:space="preserve">Transcript</w:t>
            </w: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shd w:fill="c2dbf0" w:val="clear"/>
          </w:tcPr>
          <w:p w:rsidR="00000000" w:rsidDel="00000000" w:rsidP="00000000" w:rsidRDefault="00000000" w:rsidRPr="00000000" w14:paraId="00000077">
            <w:pPr>
              <w:jc w:val="center"/>
              <w:rPr>
                <w:rFonts w:ascii="Proxima Nova" w:cs="Proxima Nova" w:eastAsia="Proxima Nova" w:hAnsi="Proxima Nova"/>
                <w:color w:val="06599b"/>
              </w:rPr>
            </w:pPr>
            <w:r w:rsidDel="00000000" w:rsidR="00000000" w:rsidRPr="00000000">
              <w:rPr>
                <w:rFonts w:ascii="Proxima Nova" w:cs="Proxima Nova" w:eastAsia="Proxima Nova" w:hAnsi="Proxima Nova"/>
                <w:b w:val="1"/>
                <w:bCs w:val="1"/>
                <w:color w:val="06599b"/>
                <w:rtl w:val="0"/>
              </w:rPr>
              <w:t xml:space="preserve">Special Gene Notes</w:t>
            </w:r>
            <w:r w:rsidDel="00000000" w:rsidR="00000000" w:rsidRPr="00000000">
              <w:rPr>
                <w:rtl w:val="0"/>
              </w:rPr>
            </w:r>
          </w:p>
        </w:tc>
      </w:tr>
      <w:tr>
        <w:trPr>
          <w:cantSplit w:val="0"/>
          <w:tblHeader w:val="0"/>
        </w:trPr>
        <w:tc>
          <w:tcPr>
            <w:tcBorders>
              <w:top w:color="d9d9d9" w:space="0" w:sz="6"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ADAMTS2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79">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212529"/>
                <w:sz w:val="20"/>
                <w:szCs w:val="20"/>
                <w:rtl w:val="0"/>
              </w:rPr>
              <w:t xml:space="preserve">NM_014244.5</w:t>
            </w: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7A">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AEBP1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7C">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NM_001129.5</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7D">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B3GALT6</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7F">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NM_080605.4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80">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B4GALT7</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82">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NM_007255.3</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83">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CHST14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85">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NM_130468.4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86">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COL1A1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88">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NM_000088.4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89">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COL1A2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8B">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NM_000089.4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8C">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COL3A1</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8E">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NM_000090.4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8F">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COL5A1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91">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NM_000093.5</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92">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COL5A2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94">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NM_000393.5</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95">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COL12A1</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97">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NM_004370.6</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98">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C1R</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9A">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NM_001733.7</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9B">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C1S</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9D">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NM_001734.5</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9E">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DSE</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center"/>
          </w:tcPr>
          <w:p w:rsidR="00000000" w:rsidDel="00000000" w:rsidP="00000000" w:rsidRDefault="00000000" w:rsidRPr="00000000" w14:paraId="000000A0">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NM_013352.4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1">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FKBP14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3">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NM_017946.4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4">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center"/>
          </w:tcPr>
          <w:p w:rsidR="00000000" w:rsidDel="00000000" w:rsidP="00000000" w:rsidRDefault="00000000" w:rsidRPr="00000000" w14:paraId="000000A5">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PLOD1</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6">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NM_000302.4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7">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PRDM5</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9">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NM_018699.4</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A">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SLC39A13</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C">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NM_001128225.3</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D">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r>
        <w:trPr>
          <w:cantSplit w:val="0"/>
          <w:tblHeader w:val="0"/>
        </w:trPr>
        <w:tc>
          <w:tcPr>
            <w:tcBorders>
              <w:top w:color="d9d9d9" w:space="0" w:sz="5" w:val="single"/>
              <w:left w:color="d9d9d9" w:space="0" w:sz="5" w:val="single"/>
              <w:bottom w:color="d9d9d9" w:space="0" w:sz="5" w:val="single"/>
              <w:right w:color="d9d9d9" w:space="0" w:sz="6"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ZNF469</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AF">
            <w:pPr>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NM_001367624.2</w:t>
            </w:r>
          </w:p>
        </w:tc>
        <w:tc>
          <w:tcPr>
            <w:tcBorders>
              <w:top w:color="d9d9d9" w:space="0" w:sz="6" w:val="single"/>
              <w:left w:color="d9d9d9" w:space="0" w:sz="6" w:val="single"/>
              <w:bottom w:color="d9d9d9" w:space="0" w:sz="6" w:val="single"/>
              <w:right w:color="d9d9d9" w:space="0" w:sz="6" w:val="single"/>
            </w:tcBorders>
            <w:tcMar>
              <w:top w:w="40.0" w:type="dxa"/>
              <w:left w:w="40.0" w:type="dxa"/>
              <w:bottom w:w="40.0" w:type="dxa"/>
              <w:right w:w="40.0" w:type="dxa"/>
            </w:tcMar>
          </w:tcPr>
          <w:p w:rsidR="00000000" w:rsidDel="00000000" w:rsidP="00000000" w:rsidRDefault="00000000" w:rsidRPr="00000000" w14:paraId="000000B0">
            <w:pPr>
              <w:widowControl w:val="0"/>
              <w:spacing w:line="276" w:lineRule="auto"/>
              <w:jc w:val="center"/>
              <w:rPr>
                <w:rFonts w:ascii="Proxima Nova" w:cs="Proxima Nova" w:eastAsia="Proxima Nova" w:hAnsi="Proxima Nova"/>
                <w:color w:val="434343"/>
                <w:sz w:val="20"/>
                <w:szCs w:val="20"/>
              </w:rPr>
            </w:pPr>
            <w:r w:rsidDel="00000000" w:rsidR="00000000" w:rsidRPr="00000000">
              <w:rPr>
                <w:rFonts w:ascii="Proxima Nova" w:cs="Proxima Nova" w:eastAsia="Proxima Nova" w:hAnsi="Proxima Nova"/>
                <w:color w:val="434343"/>
                <w:sz w:val="20"/>
                <w:szCs w:val="20"/>
                <w:rtl w:val="0"/>
              </w:rPr>
              <w:t xml:space="preserve">–</w:t>
            </w:r>
          </w:p>
        </w:tc>
      </w:tr>
    </w:tbl>
    <w:p w:rsidR="00000000" w:rsidDel="00000000" w:rsidP="00000000" w:rsidRDefault="00000000" w:rsidRPr="00000000" w14:paraId="000000B1">
      <w:pPr>
        <w:spacing w:after="40" w:before="40" w:lineRule="auto"/>
        <w:ind w:left="-1035" w:right="-1080" w:firstLine="0"/>
        <w:rPr>
          <w:rFonts w:ascii="Proxima Nova" w:cs="Proxima Nova" w:eastAsia="Proxima Nova" w:hAnsi="Proxima Nova"/>
          <w:color w:val="434343"/>
        </w:rPr>
      </w:pPr>
      <w:r w:rsidDel="00000000" w:rsidR="00000000" w:rsidRPr="00000000">
        <w:rPr>
          <w:rtl w:val="0"/>
        </w:rPr>
      </w:r>
    </w:p>
    <w:sectPr>
      <w:headerReference r:id="rId12" w:type="default"/>
      <w:type w:val="nextPage"/>
      <w:pgSz w:h="15840" w:w="12240" w:orient="portrait"/>
      <w:pgMar w:bottom="1440" w:top="1440" w:left="1440" w:right="1440" w:header="36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Unicode MS"/>
  <w:font w:name="Arial"/>
  <w:font w:name="Aptos"/>
  <w:font w:name="Play">
    <w:embedRegular w:fontKey="{00000000-0000-0000-0000-000000000000}" r:id="rId1" w:subsetted="0"/>
    <w:embedBold w:fontKey="{00000000-0000-0000-0000-000000000000}" r:id="rId2" w:subsetted="0"/>
  </w:font>
  <w:font w:name="Proxima Nov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va Mono">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spacing w:line="276" w:lineRule="auto"/>
      <w:ind w:left="-1170" w:right="-108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spacing w:line="276" w:lineRule="auto"/>
      <w:ind w:left="-1080" w:firstLine="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890588" cy="2190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0588" cy="219075"/>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spacing w:line="240" w:lineRule="auto"/>
      <w:ind w:left="-1080" w:right="-1080" w:firstLine="0"/>
      <w:rPr>
        <w:rFonts w:ascii="Proxima Nova" w:cs="Proxima Nova" w:eastAsia="Proxima Nova" w:hAnsi="Proxima Nova"/>
        <w:b w:val="1"/>
        <w:bCs w:val="1"/>
        <w:color w:val="434343"/>
        <w:sz w:val="28"/>
        <w:szCs w:val="28"/>
      </w:rPr>
    </w:pPr>
    <w:r w:rsidDel="00000000" w:rsidR="00000000" w:rsidRPr="00000000">
      <w:rPr>
        <w:rFonts w:ascii="Proxima Nova" w:cs="Proxima Nova" w:eastAsia="Proxima Nova" w:hAnsi="Proxima Nova"/>
        <w:b w:val="1"/>
        <w:bCs w:val="1"/>
        <w:color w:val="434343"/>
        <w:sz w:val="28"/>
        <w:szCs w:val="28"/>
        <w:rtl w:val="0"/>
      </w:rPr>
      <w:t xml:space="preserve">Helix Ehlers Danlos Syndrome Panel</w:t>
    </w:r>
  </w:p>
  <w:p w:rsidR="00000000" w:rsidDel="00000000" w:rsidP="00000000" w:rsidRDefault="00000000" w:rsidRPr="00000000" w14:paraId="000000B4">
    <w:pPr>
      <w:spacing w:line="240" w:lineRule="auto"/>
      <w:ind w:left="-1080" w:right="-1080" w:firstLine="0"/>
      <w:jc w:val="left"/>
      <w:rPr>
        <w:rFonts w:ascii="Proxima Nova" w:cs="Proxima Nova" w:eastAsia="Proxima Nova" w:hAnsi="Proxima Nova"/>
        <w:color w:val="434343"/>
      </w:rPr>
    </w:pPr>
    <w:r w:rsidDel="00000000" w:rsidR="00000000" w:rsidRPr="00000000">
      <w:rPr>
        <w:rFonts w:ascii="Proxima Nova" w:cs="Proxima Nova" w:eastAsia="Proxima Nova" w:hAnsi="Proxima Nova"/>
        <w:color w:val="434343"/>
        <w:rtl w:val="0"/>
      </w:rPr>
      <w:tab/>
      <w:tab/>
      <w:tab/>
      <w:tab/>
      <w:tab/>
      <w:tab/>
      <w:tab/>
      <w:tab/>
      <w:tab/>
      <w:t xml:space="preserve">                                               EDSP1 </w:t>
    </w:r>
    <w:r w:rsidDel="00000000" w:rsidR="00000000" w:rsidRPr="00000000">
      <w:rPr>
        <w:rFonts w:ascii="Proxima Nova" w:cs="Proxima Nova" w:eastAsia="Proxima Nova" w:hAnsi="Proxima Nova"/>
        <w:b w:val="1"/>
        <w:bCs w:val="1"/>
        <w:color w:val="434343"/>
        <w:rtl w:val="0"/>
      </w:rPr>
      <w:t xml:space="preserve">| </w:t>
    </w:r>
    <w:r w:rsidDel="00000000" w:rsidR="00000000" w:rsidRPr="00000000">
      <w:rPr>
        <w:rFonts w:ascii="Proxima Nova" w:cs="Proxima Nova" w:eastAsia="Proxima Nova" w:hAnsi="Proxima Nova"/>
        <w:color w:val="434343"/>
        <w:rtl w:val="0"/>
      </w:rPr>
      <w:t xml:space="preserve">Diagnostic Test</w:t>
    </w:r>
    <w:r w:rsidDel="00000000" w:rsidR="00000000" w:rsidRPr="00000000">
      <w:rPr>
        <w:rtl w:val="0"/>
      </w:rPr>
    </w:r>
  </w:p>
  <w:p w:rsidR="00000000" w:rsidDel="00000000" w:rsidP="00000000" w:rsidRDefault="00000000" w:rsidRPr="00000000" w14:paraId="000000B5">
    <w:pPr>
      <w:spacing w:line="240" w:lineRule="auto"/>
      <w:ind w:left="-1080" w:right="-1080" w:firstLine="0"/>
      <w:jc w:val="right"/>
      <w:rPr>
        <w:rFonts w:ascii="Proxima Nova" w:cs="Proxima Nova" w:eastAsia="Proxima Nova" w:hAnsi="Proxima Nova"/>
        <w:b w:val="1"/>
        <w:bCs w:val="1"/>
        <w:color w:val="434343"/>
      </w:rPr>
    </w:pPr>
    <w:r w:rsidDel="00000000" w:rsidR="00000000" w:rsidRPr="00000000">
      <w:pict>
        <v:rect style="width:0.0pt;height:1.5pt" o:hr="t" o:hrstd="t" o:hralign="center" fillcolor="#A0A0A0" stroked="f"/>
      </w:pict>
    </w:r>
    <w:r w:rsidDel="00000000" w:rsidR="00000000" w:rsidRPr="00000000">
      <w:rPr>
        <w:rFonts w:ascii="Proxima Nova" w:cs="Proxima Nova" w:eastAsia="Proxima Nova" w:hAnsi="Proxima Nova"/>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spacing w:line="276" w:lineRule="auto"/>
      <w:ind w:left="-1080" w:firstLine="0"/>
      <w:rPr>
        <w:rFonts w:ascii="Proxima Nova" w:cs="Proxima Nova" w:eastAsia="Proxima Nova" w:hAnsi="Proxima Nova"/>
        <w:color w:val="434343"/>
        <w:sz w:val="30"/>
        <w:szCs w:val="30"/>
      </w:rPr>
    </w:pPr>
    <w:r w:rsidDel="00000000" w:rsidR="00000000" w:rsidRPr="00000000">
      <w:rPr>
        <w:rFonts w:ascii="Arial" w:cs="Arial" w:eastAsia="Arial" w:hAnsi="Arial"/>
        <w:sz w:val="22"/>
        <w:szCs w:val="22"/>
      </w:rPr>
      <w:drawing>
        <wp:inline distB="114300" distT="114300" distL="114300" distR="114300">
          <wp:extent cx="890588" cy="21907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0588" cy="219075"/>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line="240" w:lineRule="auto"/>
      <w:ind w:left="-1080" w:right="-1080" w:firstLine="0"/>
      <w:rPr>
        <w:rFonts w:ascii="Proxima Nova" w:cs="Proxima Nova" w:eastAsia="Proxima Nova" w:hAnsi="Proxima Nova"/>
        <w:b w:val="1"/>
        <w:bCs w:val="1"/>
        <w:color w:val="434343"/>
        <w:sz w:val="28"/>
        <w:szCs w:val="28"/>
      </w:rPr>
    </w:pPr>
    <w:r w:rsidDel="00000000" w:rsidR="00000000" w:rsidRPr="00000000">
      <w:rPr>
        <w:rFonts w:ascii="Proxima Nova" w:cs="Proxima Nova" w:eastAsia="Proxima Nova" w:hAnsi="Proxima Nova"/>
        <w:b w:val="1"/>
        <w:bCs w:val="1"/>
        <w:color w:val="434343"/>
        <w:sz w:val="28"/>
        <w:szCs w:val="28"/>
        <w:rtl w:val="0"/>
      </w:rPr>
      <w:t xml:space="preserve">Helix Hereditary Comprehensive Cancer Panel</w:t>
    </w:r>
  </w:p>
  <w:p w:rsidR="00000000" w:rsidDel="00000000" w:rsidP="00000000" w:rsidRDefault="00000000" w:rsidRPr="00000000" w14:paraId="000000B8">
    <w:pPr>
      <w:spacing w:line="240" w:lineRule="auto"/>
      <w:ind w:left="-1080" w:right="-1080" w:firstLine="0"/>
      <w:rPr/>
    </w:pPr>
    <w:r w:rsidDel="00000000" w:rsidR="00000000" w:rsidRPr="00000000">
      <w:rPr>
        <w:rFonts w:ascii="Proxima Nova" w:cs="Proxima Nova" w:eastAsia="Proxima Nova" w:hAnsi="Proxima Nova"/>
        <w:b w:val="1"/>
        <w:bCs w:val="1"/>
        <w:color w:val="06599b"/>
        <w:sz w:val="28"/>
        <w:szCs w:val="28"/>
        <w:rtl w:val="0"/>
      </w:rPr>
      <w:t xml:space="preserve">Conditions</w:t>
    </w:r>
    <w:r w:rsidDel="00000000" w:rsidR="00000000" w:rsidRPr="00000000">
      <w:rPr>
        <w:rFonts w:ascii="Proxima Nova" w:cs="Proxima Nova" w:eastAsia="Proxima Nova" w:hAnsi="Proxima Nova"/>
        <w:color w:val="434343"/>
        <w:rtl w:val="0"/>
      </w:rPr>
      <w:tab/>
      <w:tab/>
      <w:tab/>
      <w:tab/>
      <w:tab/>
      <w:tab/>
      <w:tab/>
      <w:tab/>
      <w:tab/>
      <w:tab/>
      <w:tab/>
    </w:r>
    <w:r w:rsidDel="00000000" w:rsidR="00000000" w:rsidRPr="00000000">
      <w:rPr>
        <w:rFonts w:ascii="Proxima Nova" w:cs="Proxima Nova" w:eastAsia="Proxima Nova" w:hAnsi="Proxima Nova"/>
        <w:color w:val="434343"/>
        <w:rtl w:val="0"/>
      </w:rPr>
      <w:t xml:space="preserve">CCAN1 </w:t>
    </w:r>
    <w:r w:rsidDel="00000000" w:rsidR="00000000" w:rsidRPr="00000000">
      <w:rPr>
        <w:rFonts w:ascii="Proxima Nova" w:cs="Proxima Nova" w:eastAsia="Proxima Nova" w:hAnsi="Proxima Nova"/>
        <w:b w:val="1"/>
        <w:bCs w:val="1"/>
        <w:color w:val="434343"/>
        <w:rtl w:val="0"/>
      </w:rPr>
      <w:t xml:space="preserve">| </w:t>
    </w:r>
    <w:r w:rsidDel="00000000" w:rsidR="00000000" w:rsidRPr="00000000">
      <w:rPr>
        <w:rFonts w:ascii="Proxima Nova" w:cs="Proxima Nova" w:eastAsia="Proxima Nova" w:hAnsi="Proxima Nova"/>
        <w:color w:val="434343"/>
        <w:rtl w:val="0"/>
      </w:rPr>
      <w:t xml:space="preserve">Diagnostic Test</w:t>
    </w:r>
    <w:r w:rsidDel="00000000" w:rsidR="00000000" w:rsidRPr="00000000">
      <w:pict>
        <v:rect style="width:0.0pt;height:1.5pt" o:hr="t" o:hrstd="t" o:hralign="center" fillcolor="#A0A0A0" stroked="f"/>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spacing w:line="276" w:lineRule="auto"/>
      <w:ind w:left="-1080" w:firstLine="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890588" cy="2190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0588" cy="219075"/>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ind w:left="-1080" w:right="-1080" w:firstLine="0"/>
      <w:rPr>
        <w:rFonts w:ascii="Proxima Nova" w:cs="Proxima Nova" w:eastAsia="Proxima Nova" w:hAnsi="Proxima Nova"/>
        <w:b w:val="1"/>
        <w:bCs w:val="1"/>
        <w:color w:val="434343"/>
        <w:sz w:val="28"/>
        <w:szCs w:val="28"/>
      </w:rPr>
    </w:pPr>
    <w:r w:rsidDel="00000000" w:rsidR="00000000" w:rsidRPr="00000000">
      <w:rPr>
        <w:rFonts w:ascii="Proxima Nova" w:cs="Proxima Nova" w:eastAsia="Proxima Nova" w:hAnsi="Proxima Nova"/>
        <w:b w:val="1"/>
        <w:bCs w:val="1"/>
        <w:color w:val="434343"/>
        <w:sz w:val="28"/>
        <w:szCs w:val="28"/>
        <w:rtl w:val="0"/>
      </w:rPr>
      <w:t xml:space="preserve">Helix Ehlers Danlos Syndrome Panel</w:t>
    </w:r>
  </w:p>
  <w:p w:rsidR="00000000" w:rsidDel="00000000" w:rsidP="00000000" w:rsidRDefault="00000000" w:rsidRPr="00000000" w14:paraId="000000BD">
    <w:pPr>
      <w:ind w:left="-1080" w:right="-1080" w:firstLine="0"/>
      <w:rPr>
        <w:rFonts w:ascii="Proxima Nova" w:cs="Proxima Nova" w:eastAsia="Proxima Nova" w:hAnsi="Proxima Nova"/>
        <w:color w:val="434343"/>
      </w:rPr>
    </w:pPr>
    <w:r w:rsidDel="00000000" w:rsidR="00000000" w:rsidRPr="00000000">
      <w:rPr>
        <w:rFonts w:ascii="Proxima Nova" w:cs="Proxima Nova" w:eastAsia="Proxima Nova" w:hAnsi="Proxima Nova"/>
        <w:b w:val="1"/>
        <w:bCs w:val="1"/>
        <w:color w:val="06599b"/>
        <w:rtl w:val="0"/>
      </w:rPr>
      <w:t xml:space="preserve">Conditions List</w:t>
    </w:r>
    <w:r w:rsidDel="00000000" w:rsidR="00000000" w:rsidRPr="00000000">
      <w:rPr>
        <w:rFonts w:ascii="Proxima Nova" w:cs="Proxima Nova" w:eastAsia="Proxima Nova" w:hAnsi="Proxima Nova"/>
        <w:color w:val="434343"/>
        <w:rtl w:val="0"/>
      </w:rPr>
      <w:tab/>
      <w:tab/>
      <w:tab/>
      <w:tab/>
      <w:tab/>
    </w:r>
    <w:r w:rsidDel="00000000" w:rsidR="00000000" w:rsidRPr="00000000">
      <w:rPr>
        <w:rFonts w:ascii="Proxima Nova" w:cs="Proxima Nova" w:eastAsia="Proxima Nova" w:hAnsi="Proxima Nova"/>
        <w:b w:val="1"/>
        <w:bCs w:val="1"/>
        <w:color w:val="434343"/>
        <w:sz w:val="28"/>
        <w:szCs w:val="28"/>
        <w:rtl w:val="0"/>
      </w:rPr>
      <w:tab/>
      <w:tab/>
      <w:t xml:space="preserve">                                         </w:t>
    </w:r>
    <w:r w:rsidDel="00000000" w:rsidR="00000000" w:rsidRPr="00000000">
      <w:rPr>
        <w:rFonts w:ascii="Proxima Nova" w:cs="Proxima Nova" w:eastAsia="Proxima Nova" w:hAnsi="Proxima Nova"/>
        <w:color w:val="434343"/>
        <w:rtl w:val="0"/>
      </w:rPr>
      <w:t xml:space="preserve">EDSP1 </w:t>
    </w:r>
    <w:r w:rsidDel="00000000" w:rsidR="00000000" w:rsidRPr="00000000">
      <w:rPr>
        <w:rFonts w:ascii="Proxima Nova" w:cs="Proxima Nova" w:eastAsia="Proxima Nova" w:hAnsi="Proxima Nova"/>
        <w:b w:val="1"/>
        <w:bCs w:val="1"/>
        <w:color w:val="434343"/>
        <w:rtl w:val="0"/>
      </w:rPr>
      <w:t xml:space="preserve">| </w:t>
    </w:r>
    <w:r w:rsidDel="00000000" w:rsidR="00000000" w:rsidRPr="00000000">
      <w:rPr>
        <w:rFonts w:ascii="Proxima Nova" w:cs="Proxima Nova" w:eastAsia="Proxima Nova" w:hAnsi="Proxima Nova"/>
        <w:color w:val="434343"/>
        <w:rtl w:val="0"/>
      </w:rPr>
      <w:t xml:space="preserve">Diagnostic Test</w:t>
    </w:r>
    <w:r w:rsidDel="00000000" w:rsidR="00000000" w:rsidRPr="00000000">
      <w:rPr>
        <w:rtl w:val="0"/>
      </w:rPr>
    </w:r>
  </w:p>
  <w:p w:rsidR="00000000" w:rsidDel="00000000" w:rsidP="00000000" w:rsidRDefault="00000000" w:rsidRPr="00000000" w14:paraId="000000BE">
    <w:pPr>
      <w:ind w:left="-1080" w:right="-1080" w:firstLine="0"/>
      <w:jc w:val="right"/>
      <w:rPr/>
    </w:pPr>
    <w:r w:rsidDel="00000000" w:rsidR="00000000" w:rsidRPr="00000000">
      <w:pict>
        <v:rect style="width:0.0pt;height:1.5pt" o:hr="t" o:hrstd="t" o:hralign="center" fillcolor="#A0A0A0" stroked="f"/>
      </w:pic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spacing w:line="276" w:lineRule="auto"/>
      <w:ind w:left="-1080" w:firstLine="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890588" cy="219075"/>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0588" cy="219075"/>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ind w:left="-1080" w:right="-1080" w:firstLine="0"/>
      <w:rPr>
        <w:rFonts w:ascii="Proxima Nova" w:cs="Proxima Nova" w:eastAsia="Proxima Nova" w:hAnsi="Proxima Nova"/>
        <w:b w:val="1"/>
        <w:bCs w:val="1"/>
        <w:color w:val="434343"/>
        <w:sz w:val="28"/>
        <w:szCs w:val="28"/>
      </w:rPr>
    </w:pPr>
    <w:r w:rsidDel="00000000" w:rsidR="00000000" w:rsidRPr="00000000">
      <w:rPr>
        <w:rFonts w:ascii="Proxima Nova" w:cs="Proxima Nova" w:eastAsia="Proxima Nova" w:hAnsi="Proxima Nova"/>
        <w:b w:val="1"/>
        <w:bCs w:val="1"/>
        <w:color w:val="434343"/>
        <w:sz w:val="28"/>
        <w:szCs w:val="28"/>
        <w:rtl w:val="0"/>
      </w:rPr>
      <w:t xml:space="preserve">Helix Hereditary Comprehensive Cancer Panel</w:t>
    </w:r>
  </w:p>
  <w:p w:rsidR="00000000" w:rsidDel="00000000" w:rsidP="00000000" w:rsidRDefault="00000000" w:rsidRPr="00000000" w14:paraId="000000C1">
    <w:pPr>
      <w:ind w:left="-1080" w:right="-1080" w:firstLine="0"/>
      <w:rPr>
        <w:rFonts w:ascii="Proxima Nova" w:cs="Proxima Nova" w:eastAsia="Proxima Nova" w:hAnsi="Proxima Nova"/>
        <w:color w:val="434343"/>
      </w:rPr>
    </w:pPr>
    <w:r w:rsidDel="00000000" w:rsidR="00000000" w:rsidRPr="00000000">
      <w:rPr>
        <w:rFonts w:ascii="Proxima Nova" w:cs="Proxima Nova" w:eastAsia="Proxima Nova" w:hAnsi="Proxima Nova"/>
        <w:b w:val="1"/>
        <w:bCs w:val="1"/>
        <w:color w:val="06599b"/>
        <w:rtl w:val="0"/>
      </w:rPr>
      <w:t xml:space="preserve">TARGETED GENES &amp; METHODOLOGY</w:t>
    </w:r>
    <w:r w:rsidDel="00000000" w:rsidR="00000000" w:rsidRPr="00000000">
      <w:rPr>
        <w:rFonts w:ascii="Proxima Nova" w:cs="Proxima Nova" w:eastAsia="Proxima Nova" w:hAnsi="Proxima Nova"/>
        <w:color w:val="434343"/>
        <w:rtl w:val="0"/>
      </w:rPr>
      <w:tab/>
      <w:tab/>
      <w:tab/>
      <w:tab/>
      <w:tab/>
      <w:tab/>
      <w:tab/>
      <w:t xml:space="preserve">CCAN1 </w:t>
    </w:r>
    <w:r w:rsidDel="00000000" w:rsidR="00000000" w:rsidRPr="00000000">
      <w:rPr>
        <w:rFonts w:ascii="Proxima Nova" w:cs="Proxima Nova" w:eastAsia="Proxima Nova" w:hAnsi="Proxima Nova"/>
        <w:b w:val="1"/>
        <w:bCs w:val="1"/>
        <w:color w:val="434343"/>
        <w:rtl w:val="0"/>
      </w:rPr>
      <w:t xml:space="preserve">| </w:t>
    </w:r>
    <w:r w:rsidDel="00000000" w:rsidR="00000000" w:rsidRPr="00000000">
      <w:rPr>
        <w:rFonts w:ascii="Proxima Nova" w:cs="Proxima Nova" w:eastAsia="Proxima Nova" w:hAnsi="Proxima Nova"/>
        <w:color w:val="434343"/>
        <w:rtl w:val="0"/>
      </w:rPr>
      <w:t xml:space="preserve">Diagnostic Test</w:t>
    </w:r>
  </w:p>
  <w:p w:rsidR="00000000" w:rsidDel="00000000" w:rsidP="00000000" w:rsidRDefault="00000000" w:rsidRPr="00000000" w14:paraId="000000C2">
    <w:pPr>
      <w:ind w:left="-1080" w:right="-1080" w:firstLine="0"/>
      <w:jc w:val="right"/>
      <w:rPr/>
    </w:pPr>
    <w:r w:rsidDel="00000000" w:rsidR="00000000" w:rsidRPr="00000000">
      <w:pict>
        <v:rect style="width:0.0pt;height:1.5pt" o:hr="t" o:hrstd="t" o:hralign="center" fillcolor="#A0A0A0" stroked="f"/>
      </w:pic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spacing w:line="276" w:lineRule="auto"/>
      <w:ind w:left="-1080" w:firstLine="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890588" cy="21907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0588" cy="219075"/>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ind w:left="-1080" w:right="-1080" w:firstLine="0"/>
      <w:rPr>
        <w:rFonts w:ascii="Proxima Nova" w:cs="Proxima Nova" w:eastAsia="Proxima Nova" w:hAnsi="Proxima Nova"/>
        <w:b w:val="1"/>
        <w:bCs w:val="1"/>
        <w:color w:val="434343"/>
        <w:sz w:val="28"/>
        <w:szCs w:val="28"/>
      </w:rPr>
    </w:pPr>
    <w:r w:rsidDel="00000000" w:rsidR="00000000" w:rsidRPr="00000000">
      <w:rPr>
        <w:rFonts w:ascii="Proxima Nova" w:cs="Proxima Nova" w:eastAsia="Proxima Nova" w:hAnsi="Proxima Nova"/>
        <w:b w:val="1"/>
        <w:bCs w:val="1"/>
        <w:color w:val="434343"/>
        <w:sz w:val="28"/>
        <w:szCs w:val="28"/>
        <w:rtl w:val="0"/>
      </w:rPr>
      <w:t xml:space="preserve">Helix Ehlers Danlos Syndrome Panel</w:t>
    </w:r>
  </w:p>
  <w:p w:rsidR="00000000" w:rsidDel="00000000" w:rsidP="00000000" w:rsidRDefault="00000000" w:rsidRPr="00000000" w14:paraId="000000C5">
    <w:pPr>
      <w:ind w:left="-1080" w:right="-1080" w:firstLine="0"/>
      <w:rPr>
        <w:rFonts w:ascii="Proxima Nova" w:cs="Proxima Nova" w:eastAsia="Proxima Nova" w:hAnsi="Proxima Nova"/>
        <w:color w:val="434343"/>
      </w:rPr>
    </w:pPr>
    <w:r w:rsidDel="00000000" w:rsidR="00000000" w:rsidRPr="00000000">
      <w:rPr>
        <w:rFonts w:ascii="Proxima Nova" w:cs="Proxima Nova" w:eastAsia="Proxima Nova" w:hAnsi="Proxima Nova"/>
        <w:b w:val="1"/>
        <w:bCs w:val="1"/>
        <w:color w:val="06599b"/>
        <w:rtl w:val="0"/>
      </w:rPr>
      <w:t xml:space="preserve">Targeted Genes &amp; Methodology</w:t>
    </w:r>
    <w:r w:rsidDel="00000000" w:rsidR="00000000" w:rsidRPr="00000000">
      <w:rPr>
        <w:rFonts w:ascii="Proxima Nova" w:cs="Proxima Nova" w:eastAsia="Proxima Nova" w:hAnsi="Proxima Nova"/>
        <w:color w:val="434343"/>
        <w:rtl w:val="0"/>
      </w:rPr>
      <w:tab/>
      <w:tab/>
      <w:tab/>
      <w:tab/>
      <w:t xml:space="preserve">                                               EDSP1 </w:t>
    </w:r>
    <w:r w:rsidDel="00000000" w:rsidR="00000000" w:rsidRPr="00000000">
      <w:rPr>
        <w:rFonts w:ascii="Proxima Nova" w:cs="Proxima Nova" w:eastAsia="Proxima Nova" w:hAnsi="Proxima Nova"/>
        <w:b w:val="1"/>
        <w:bCs w:val="1"/>
        <w:color w:val="434343"/>
        <w:rtl w:val="0"/>
      </w:rPr>
      <w:t xml:space="preserve">| </w:t>
    </w:r>
    <w:r w:rsidDel="00000000" w:rsidR="00000000" w:rsidRPr="00000000">
      <w:rPr>
        <w:rFonts w:ascii="Proxima Nova" w:cs="Proxima Nova" w:eastAsia="Proxima Nova" w:hAnsi="Proxima Nova"/>
        <w:color w:val="434343"/>
        <w:rtl w:val="0"/>
      </w:rPr>
      <w:t xml:space="preserve">Diagnostic Test</w:t>
    </w:r>
  </w:p>
  <w:p w:rsidR="00000000" w:rsidDel="00000000" w:rsidP="00000000" w:rsidRDefault="00000000" w:rsidRPr="00000000" w14:paraId="000000C6">
    <w:pPr>
      <w:ind w:left="-1080" w:right="-1080" w:firstLine="0"/>
      <w:jc w:val="right"/>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vertAlign w:val="baselin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vertAlign w:val="baseline"/>
    </w:rPr>
  </w:style>
  <w:style w:type="paragraph" w:styleId="Heading3">
    <w:name w:val="heading 3"/>
    <w:basedOn w:val="Normal"/>
    <w:next w:val="Normal"/>
    <w:pPr>
      <w:keepNext w:val="1"/>
      <w:keepLines w:val="1"/>
      <w:spacing w:after="80" w:before="160" w:lineRule="auto"/>
    </w:pPr>
    <w:rPr>
      <w:color w:val="0f4761"/>
      <w:sz w:val="28"/>
      <w:szCs w:val="28"/>
      <w:vertAlign w:val="baseline"/>
    </w:rPr>
  </w:style>
  <w:style w:type="paragraph" w:styleId="Heading4">
    <w:name w:val="heading 4"/>
    <w:basedOn w:val="Normal"/>
    <w:next w:val="Normal"/>
    <w:pPr>
      <w:keepNext w:val="1"/>
      <w:keepLines w:val="1"/>
      <w:spacing w:after="40" w:before="80" w:lineRule="auto"/>
    </w:pPr>
    <w:rPr>
      <w:i w:val="1"/>
      <w:iCs w:val="1"/>
      <w:color w:val="0f4761"/>
      <w:sz w:val="24"/>
      <w:szCs w:val="24"/>
      <w:vertAlign w:val="baseline"/>
    </w:rPr>
  </w:style>
  <w:style w:type="paragraph" w:styleId="Heading5">
    <w:name w:val="heading 5"/>
    <w:basedOn w:val="Normal"/>
    <w:next w:val="Normal"/>
    <w:pPr>
      <w:keepNext w:val="1"/>
      <w:keepLines w:val="1"/>
      <w:spacing w:after="40" w:before="80" w:lineRule="auto"/>
    </w:pPr>
    <w:rPr>
      <w:color w:val="0f4761"/>
      <w:sz w:val="24"/>
      <w:szCs w:val="24"/>
      <w:vertAlign w:val="baseline"/>
    </w:rPr>
  </w:style>
  <w:style w:type="paragraph" w:styleId="Heading6">
    <w:name w:val="heading 6"/>
    <w:basedOn w:val="Normal"/>
    <w:next w:val="Normal"/>
    <w:pPr>
      <w:keepNext w:val="1"/>
      <w:keepLines w:val="1"/>
      <w:spacing w:before="40" w:lineRule="auto"/>
    </w:pPr>
    <w:rPr>
      <w:i w:val="1"/>
      <w:iCs w:val="1"/>
      <w:color w:val="595959"/>
      <w:sz w:val="24"/>
      <w:szCs w:val="24"/>
      <w:vertAlign w:val="baseline"/>
    </w:rPr>
  </w:style>
  <w:style w:type="paragraph" w:styleId="Title">
    <w:name w:val="Title"/>
    <w:basedOn w:val="Normal"/>
    <w:next w:val="Normal"/>
    <w:pPr>
      <w:spacing w:after="80" w:lineRule="auto"/>
    </w:pPr>
    <w:rPr>
      <w:rFonts w:ascii="Play" w:cs="Play" w:eastAsia="Play" w:hAnsi="Play"/>
      <w:sz w:val="56"/>
      <w:szCs w:val="56"/>
      <w:vertAlign w:val="baseline"/>
    </w:rPr>
  </w:style>
  <w:style w:type="paragraph" w:styleId="Subtitle">
    <w:name w:val="Subtitle"/>
    <w:basedOn w:val="Normal"/>
    <w:next w:val="Normal"/>
    <w:pPr>
      <w:spacing w:after="160" w:lineRule="auto"/>
    </w:pPr>
    <w:rPr>
      <w:color w:val="595959"/>
      <w:sz w:val="28"/>
      <w:szCs w:val="28"/>
      <w:vertAlign w:val="baseline"/>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4.xml"/><Relationship Id="rId10" Type="http://schemas.openxmlformats.org/officeDocument/2006/relationships/header" Target="header3.xml"/><Relationship Id="rId12" Type="http://schemas.openxmlformats.org/officeDocument/2006/relationships/header" Target="header5.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roximaNova-regular.ttf"/><Relationship Id="rId4" Type="http://schemas.openxmlformats.org/officeDocument/2006/relationships/font" Target="fonts/ProximaNova-bold.ttf"/><Relationship Id="rId5" Type="http://schemas.openxmlformats.org/officeDocument/2006/relationships/font" Target="fonts/ProximaNova-italic.ttf"/><Relationship Id="rId6" Type="http://schemas.openxmlformats.org/officeDocument/2006/relationships/font" Target="fonts/ProximaNova-boldItalic.ttf"/><Relationship Id="rId7" Type="http://schemas.openxmlformats.org/officeDocument/2006/relationships/font" Target="fonts/NovaMono-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